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750F6" w14:textId="77777777" w:rsidR="005D101C" w:rsidRPr="000F123F" w:rsidRDefault="005D101C" w:rsidP="005D101C">
      <w:pPr>
        <w:spacing w:before="0" w:after="160" w:line="256" w:lineRule="auto"/>
        <w:ind w:firstLine="0"/>
        <w:jc w:val="left"/>
        <w:rPr>
          <w:rFonts w:cs="Sylfaen"/>
          <w:b/>
          <w:bCs/>
          <w:color w:val="000000"/>
          <w:sz w:val="32"/>
          <w:lang w:val="hy-AM"/>
        </w:rPr>
      </w:pPr>
      <w:r w:rsidRPr="000F123F">
        <w:rPr>
          <w:rFonts w:cs="Sylfaen"/>
          <w:b/>
          <w:bCs/>
          <w:color w:val="000000"/>
          <w:sz w:val="32"/>
          <w:lang w:val="hy-AM"/>
        </w:rPr>
        <w:t>ՀԱՅԱՍՏԱՆԻ ՀԱՆՐԱՊԵՏՈՒԹՅԱՆ ՀԱՇՎԵՔՆՆԻՉ ՊԱԼԱՏ</w:t>
      </w:r>
    </w:p>
    <w:p w14:paraId="0539EF5F" w14:textId="77777777" w:rsidR="005D101C" w:rsidRPr="000F123F" w:rsidRDefault="005D101C" w:rsidP="005D101C">
      <w:pPr>
        <w:spacing w:before="0" w:after="160" w:line="256" w:lineRule="auto"/>
        <w:ind w:firstLine="0"/>
        <w:jc w:val="left"/>
        <w:rPr>
          <w:rFonts w:cs="Sylfaen"/>
          <w:b/>
          <w:bCs/>
          <w:color w:val="000000"/>
          <w:sz w:val="32"/>
          <w:lang w:val="hy-AM"/>
        </w:rPr>
      </w:pPr>
    </w:p>
    <w:p w14:paraId="1AA0C8AF" w14:textId="77777777" w:rsidR="005D101C" w:rsidRPr="000F123F" w:rsidRDefault="005D101C" w:rsidP="005D101C">
      <w:pPr>
        <w:jc w:val="center"/>
        <w:rPr>
          <w:noProof/>
          <w:lang w:val="ru-RU" w:eastAsia="ru-RU"/>
        </w:rPr>
      </w:pPr>
      <w:bookmarkStart w:id="0" w:name="_Hlk509559606"/>
      <w:r w:rsidRPr="000F123F">
        <w:rPr>
          <w:noProof/>
        </w:rPr>
        <w:drawing>
          <wp:inline distT="0" distB="0" distL="0" distR="0" wp14:anchorId="2F7C171E" wp14:editId="468FA461">
            <wp:extent cx="1346200" cy="1261745"/>
            <wp:effectExtent l="0" t="0" r="635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1261745"/>
                    </a:xfrm>
                    <a:prstGeom prst="rect">
                      <a:avLst/>
                    </a:prstGeom>
                    <a:noFill/>
                    <a:ln>
                      <a:noFill/>
                    </a:ln>
                  </pic:spPr>
                </pic:pic>
              </a:graphicData>
            </a:graphic>
          </wp:inline>
        </w:drawing>
      </w:r>
      <w:bookmarkEnd w:id="0"/>
    </w:p>
    <w:p w14:paraId="253FABC1" w14:textId="77777777" w:rsidR="005D101C" w:rsidRPr="000F123F" w:rsidRDefault="005D101C" w:rsidP="005D101C"/>
    <w:p w14:paraId="16ACDE36" w14:textId="77777777" w:rsidR="005D101C" w:rsidRPr="000F123F" w:rsidRDefault="005D101C" w:rsidP="005D101C"/>
    <w:p w14:paraId="00D581F5" w14:textId="77777777" w:rsidR="005D101C" w:rsidRPr="000F123F" w:rsidRDefault="005D101C" w:rsidP="005D101C">
      <w:pPr>
        <w:tabs>
          <w:tab w:val="left" w:pos="9180"/>
        </w:tabs>
        <w:spacing w:before="0" w:line="240" w:lineRule="auto"/>
        <w:ind w:right="29" w:firstLine="0"/>
        <w:jc w:val="center"/>
        <w:rPr>
          <w:rFonts w:cs="Sylfaen"/>
          <w:b/>
          <w:bCs/>
          <w:color w:val="000000"/>
          <w:sz w:val="40"/>
        </w:rPr>
      </w:pPr>
      <w:r w:rsidRPr="000F123F">
        <w:rPr>
          <w:rFonts w:cs="Sylfaen"/>
          <w:b/>
          <w:bCs/>
          <w:color w:val="000000"/>
          <w:sz w:val="40"/>
        </w:rPr>
        <w:t>ԸՆԹԱՑԻԿ ԵԶՐԱԿԱՑՈՒԹՅՈՒՆ</w:t>
      </w:r>
    </w:p>
    <w:p w14:paraId="19E73A4B" w14:textId="77777777" w:rsidR="005D101C" w:rsidRPr="000F123F" w:rsidRDefault="005D101C" w:rsidP="005D101C">
      <w:pPr>
        <w:spacing w:before="0" w:after="160" w:line="240" w:lineRule="auto"/>
        <w:ind w:firstLine="0"/>
        <w:jc w:val="center"/>
        <w:rPr>
          <w:b/>
          <w:bCs/>
          <w:color w:val="808080"/>
          <w:sz w:val="28"/>
          <w:lang w:val="hy-AM"/>
        </w:rPr>
      </w:pPr>
      <w:r w:rsidRPr="000F123F">
        <w:rPr>
          <w:b/>
          <w:bCs/>
          <w:color w:val="808080"/>
          <w:sz w:val="28"/>
          <w:lang w:val="hy-AM"/>
        </w:rPr>
        <w:t xml:space="preserve">ՀԱՅԱՍՏԱՆԻ ՀԱՆՐԱՊԵՏՈՒԹՅԱՆ ՊԵՏԱԿԱՆ ԵԿԱՄՈՒՏՆԵՐԻ ԿՈՄԻՏԵՈՒՄ 2023 ԹՎԱԿԱՆԻ ՊԵՏԱԿԱՆ ԲՅՈՒՋԵԻ </w:t>
      </w:r>
      <w:r w:rsidRPr="000F123F">
        <w:rPr>
          <w:b/>
          <w:bCs/>
          <w:color w:val="808080"/>
          <w:sz w:val="28"/>
          <w:lang w:val="hy-AM"/>
        </w:rPr>
        <w:tab/>
      </w:r>
      <w:r>
        <w:rPr>
          <w:b/>
          <w:bCs/>
          <w:color w:val="808080"/>
          <w:sz w:val="28"/>
        </w:rPr>
        <w:t>ՏԱՐԵԿԱՆ</w:t>
      </w:r>
      <w:r w:rsidRPr="000F123F">
        <w:rPr>
          <w:b/>
          <w:bCs/>
          <w:color w:val="808080"/>
          <w:sz w:val="28"/>
          <w:lang w:val="hy-AM"/>
        </w:rPr>
        <w:t xml:space="preserve"> ԿԱՏԱՐՄԱՆ</w:t>
      </w:r>
      <w:r w:rsidRPr="000F123F">
        <w:rPr>
          <w:rFonts w:eastAsia="Times New Roman"/>
          <w:b/>
          <w:szCs w:val="24"/>
        </w:rPr>
        <w:t xml:space="preserve"> </w:t>
      </w:r>
      <w:r w:rsidRPr="000F123F">
        <w:rPr>
          <w:b/>
          <w:bCs/>
          <w:color w:val="808080"/>
          <w:sz w:val="28"/>
          <w:lang w:val="hy-AM"/>
        </w:rPr>
        <w:t>ՀԱՇՎԵՔՆՆՈՒԹՅԱՆ ԱՐԴՅՈՒՆՔՆԵՐԻ ՎԵՐԱԲԵՐՅԱԼ</w:t>
      </w:r>
    </w:p>
    <w:p w14:paraId="56B4221E" w14:textId="77777777" w:rsidR="005D101C" w:rsidRPr="000F123F" w:rsidRDefault="005D101C" w:rsidP="005D101C">
      <w:pPr>
        <w:rPr>
          <w:lang w:val="hy-AM"/>
        </w:rPr>
      </w:pPr>
    </w:p>
    <w:p w14:paraId="578DBA31" w14:textId="77777777" w:rsidR="005D101C" w:rsidRPr="000F123F" w:rsidRDefault="005D101C" w:rsidP="005D101C">
      <w:pPr>
        <w:rPr>
          <w:lang w:val="hy-AM"/>
        </w:rPr>
      </w:pPr>
    </w:p>
    <w:p w14:paraId="732CD180" w14:textId="77777777" w:rsidR="005D101C" w:rsidRPr="000F123F" w:rsidRDefault="005D101C" w:rsidP="005D101C">
      <w:pPr>
        <w:rPr>
          <w:lang w:val="hy-AM"/>
        </w:rPr>
      </w:pPr>
    </w:p>
    <w:p w14:paraId="196E0454" w14:textId="77777777" w:rsidR="005D101C" w:rsidRPr="000F123F" w:rsidRDefault="005D101C" w:rsidP="005D101C">
      <w:pPr>
        <w:rPr>
          <w:lang w:val="hy-AM"/>
        </w:rPr>
      </w:pPr>
    </w:p>
    <w:p w14:paraId="2CA8C27D" w14:textId="77777777" w:rsidR="005D101C" w:rsidRPr="000F123F" w:rsidRDefault="005D101C" w:rsidP="005D101C">
      <w:pPr>
        <w:rPr>
          <w:lang w:val="hy-AM"/>
        </w:rPr>
      </w:pPr>
    </w:p>
    <w:p w14:paraId="613A032F" w14:textId="77777777" w:rsidR="005D101C" w:rsidRPr="000F123F" w:rsidRDefault="005D101C" w:rsidP="005D101C">
      <w:pPr>
        <w:rPr>
          <w:lang w:val="hy-AM"/>
        </w:rPr>
      </w:pPr>
    </w:p>
    <w:p w14:paraId="099910BF" w14:textId="77777777" w:rsidR="005D101C" w:rsidRPr="000F123F" w:rsidRDefault="005D101C" w:rsidP="005D101C">
      <w:pPr>
        <w:rPr>
          <w:lang w:val="hy-AM"/>
        </w:rPr>
      </w:pPr>
    </w:p>
    <w:p w14:paraId="50242DBA" w14:textId="77777777" w:rsidR="005D101C" w:rsidRPr="000F123F" w:rsidRDefault="005D101C" w:rsidP="005D101C">
      <w:pPr>
        <w:jc w:val="center"/>
        <w:rPr>
          <w:sz w:val="28"/>
          <w:lang w:val="ru-RU"/>
        </w:rPr>
      </w:pPr>
      <w:r w:rsidRPr="000F123F">
        <w:rPr>
          <w:sz w:val="28"/>
          <w:lang w:val="hy-AM"/>
        </w:rPr>
        <w:t>202</w:t>
      </w:r>
      <w:r w:rsidRPr="000F123F">
        <w:rPr>
          <w:sz w:val="28"/>
          <w:lang w:val="ru-RU"/>
        </w:rPr>
        <w:t>4</w:t>
      </w:r>
    </w:p>
    <w:p w14:paraId="16FB1735" w14:textId="77777777" w:rsidR="005D101C" w:rsidRPr="000F123F" w:rsidRDefault="005D101C" w:rsidP="005D101C"/>
    <w:p w14:paraId="39B60F8A" w14:textId="77777777" w:rsidR="005D101C" w:rsidRDefault="005D101C" w:rsidP="005D101C"/>
    <w:p w14:paraId="187EFF52" w14:textId="77777777" w:rsidR="005D101C" w:rsidRDefault="005D101C" w:rsidP="005D101C"/>
    <w:p w14:paraId="5B15ACA0" w14:textId="77777777" w:rsidR="005D101C" w:rsidRDefault="005D101C" w:rsidP="005D101C"/>
    <w:p w14:paraId="698C6D09" w14:textId="77777777" w:rsidR="005D101C" w:rsidRPr="000F123F" w:rsidRDefault="005D101C" w:rsidP="005D101C"/>
    <w:p w14:paraId="4B3FD639" w14:textId="77777777" w:rsidR="005D101C" w:rsidRPr="000F123F" w:rsidRDefault="005D101C" w:rsidP="005D101C"/>
    <w:p w14:paraId="6B0A2E62" w14:textId="77777777" w:rsidR="005D101C" w:rsidRPr="000F123F" w:rsidRDefault="005D101C" w:rsidP="005D101C">
      <w:pPr>
        <w:spacing w:before="0" w:after="160" w:line="256" w:lineRule="auto"/>
        <w:ind w:firstLine="0"/>
        <w:jc w:val="center"/>
        <w:rPr>
          <w:rFonts w:cs="Sylfaen"/>
          <w:b/>
          <w:bCs/>
          <w:color w:val="0070C0"/>
          <w:sz w:val="28"/>
          <w:szCs w:val="28"/>
        </w:rPr>
      </w:pPr>
      <w:r w:rsidRPr="000F123F">
        <w:rPr>
          <w:rFonts w:cs="Sylfaen"/>
          <w:b/>
          <w:bCs/>
          <w:color w:val="0070C0"/>
          <w:sz w:val="28"/>
          <w:szCs w:val="28"/>
        </w:rPr>
        <w:t>ԲՈՎԱՆԴԱԿՈՒԹՅՈՒՆ</w:t>
      </w:r>
    </w:p>
    <w:sdt>
      <w:sdtPr>
        <w:rPr>
          <w:rFonts w:ascii="GHEA Grapalat" w:eastAsia="SimSun" w:hAnsi="GHEA Grapalat" w:cs="Times New Roman"/>
          <w:color w:val="auto"/>
          <w:sz w:val="24"/>
          <w:szCs w:val="22"/>
        </w:rPr>
        <w:id w:val="1781143465"/>
        <w:docPartObj>
          <w:docPartGallery w:val="Table of Contents"/>
          <w:docPartUnique/>
        </w:docPartObj>
      </w:sdtPr>
      <w:sdtEndPr>
        <w:rPr>
          <w:b/>
          <w:bCs/>
          <w:noProof/>
          <w:highlight w:val="yellow"/>
        </w:rPr>
      </w:sdtEndPr>
      <w:sdtContent>
        <w:p w14:paraId="00A2521A" w14:textId="77777777" w:rsidR="005D101C" w:rsidRPr="000F123F" w:rsidRDefault="005D101C" w:rsidP="005D101C">
          <w:pPr>
            <w:pStyle w:val="TOCHeading"/>
          </w:pPr>
        </w:p>
        <w:p w14:paraId="6E346385" w14:textId="0A18E070" w:rsidR="00402209" w:rsidRPr="002B2B23" w:rsidRDefault="005D101C" w:rsidP="002B2B23">
          <w:pPr>
            <w:pStyle w:val="TOC1"/>
            <w:tabs>
              <w:tab w:val="left" w:pos="1320"/>
              <w:tab w:val="right" w:leader="dot" w:pos="9912"/>
            </w:tabs>
            <w:rPr>
              <w:rStyle w:val="Hyperlink"/>
              <w:b/>
              <w:noProof/>
            </w:rPr>
          </w:pPr>
          <w:r w:rsidRPr="005D101C">
            <w:rPr>
              <w:highlight w:val="yellow"/>
            </w:rPr>
            <w:fldChar w:fldCharType="begin"/>
          </w:r>
          <w:r w:rsidRPr="005D101C">
            <w:rPr>
              <w:highlight w:val="yellow"/>
            </w:rPr>
            <w:instrText xml:space="preserve"> TOC \o "1-3" \h \z \u </w:instrText>
          </w:r>
          <w:r w:rsidRPr="005D101C">
            <w:rPr>
              <w:highlight w:val="yellow"/>
            </w:rPr>
            <w:fldChar w:fldCharType="separate"/>
          </w:r>
          <w:hyperlink w:anchor="_Toc164676862" w:history="1">
            <w:r w:rsidR="00402209" w:rsidRPr="002B2B23">
              <w:rPr>
                <w:rStyle w:val="Hyperlink"/>
                <w:b/>
                <w:noProof/>
              </w:rPr>
              <w:t>I.</w:t>
            </w:r>
            <w:r w:rsidR="00402209" w:rsidRPr="002B2B23">
              <w:rPr>
                <w:rStyle w:val="Hyperlink"/>
                <w:b/>
                <w:noProof/>
              </w:rPr>
              <w:tab/>
              <w:t>ԱՄՓՈՓԱԳԻՐ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_Toc164676862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5</w:t>
            </w:r>
            <w:r w:rsidR="00402209" w:rsidRPr="002B2B23">
              <w:rPr>
                <w:rStyle w:val="Hyperlink"/>
                <w:b/>
                <w:noProof/>
                <w:webHidden/>
              </w:rPr>
              <w:fldChar w:fldCharType="end"/>
            </w:r>
          </w:hyperlink>
        </w:p>
        <w:p w14:paraId="6ADAC85F" w14:textId="626E52E0" w:rsidR="00402209" w:rsidRPr="002B2B23" w:rsidRDefault="004066F9">
          <w:pPr>
            <w:pStyle w:val="TOC1"/>
            <w:tabs>
              <w:tab w:val="left" w:pos="1320"/>
              <w:tab w:val="right" w:leader="dot" w:pos="9912"/>
            </w:tabs>
            <w:rPr>
              <w:rStyle w:val="Hyperlink"/>
              <w:b/>
              <w:noProof/>
            </w:rPr>
          </w:pPr>
          <w:hyperlink w:anchor="_Toc164676863" w:history="1">
            <w:r w:rsidR="00402209" w:rsidRPr="002B2B23">
              <w:rPr>
                <w:rStyle w:val="Hyperlink"/>
                <w:b/>
                <w:noProof/>
              </w:rPr>
              <w:t>II.</w:t>
            </w:r>
            <w:r w:rsidR="00402209" w:rsidRPr="002B2B23">
              <w:rPr>
                <w:rStyle w:val="Hyperlink"/>
                <w:b/>
                <w:noProof/>
              </w:rPr>
              <w:tab/>
              <w:t>ՀԱՇՎԵՔՆՆՈՒԹՅԱՆ ՀԻՄՆԱԿԱՆ ԱՐԴՅՈՒՆՔՆԵՐ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_Toc164676863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7</w:t>
            </w:r>
            <w:r w:rsidR="00402209" w:rsidRPr="002B2B23">
              <w:rPr>
                <w:rStyle w:val="Hyperlink"/>
                <w:b/>
                <w:noProof/>
                <w:webHidden/>
              </w:rPr>
              <w:fldChar w:fldCharType="end"/>
            </w:r>
          </w:hyperlink>
        </w:p>
        <w:p w14:paraId="6645CED5" w14:textId="2EE23DE8" w:rsidR="00402209" w:rsidRPr="002B2B23" w:rsidRDefault="004066F9">
          <w:pPr>
            <w:pStyle w:val="TOC1"/>
            <w:tabs>
              <w:tab w:val="left" w:pos="1320"/>
              <w:tab w:val="right" w:leader="dot" w:pos="9912"/>
            </w:tabs>
            <w:rPr>
              <w:rStyle w:val="Hyperlink"/>
              <w:b/>
              <w:noProof/>
            </w:rPr>
          </w:pPr>
          <w:hyperlink w:anchor="_Toc164676864" w:history="1">
            <w:r w:rsidR="00402209" w:rsidRPr="002B2B23">
              <w:rPr>
                <w:rStyle w:val="Hyperlink"/>
                <w:b/>
                <w:noProof/>
              </w:rPr>
              <w:t>III.</w:t>
            </w:r>
            <w:r w:rsidR="00402209" w:rsidRPr="002B2B23">
              <w:rPr>
                <w:rStyle w:val="Hyperlink"/>
                <w:b/>
                <w:noProof/>
              </w:rPr>
              <w:tab/>
              <w:t>ՀԱՇՎԵՔՆՆՈՒԹՅԱՆ ՕԲՅԵԿՏԻ ՖԻՆԱՆՍԱԿԱՆ ՑՈՒՑԱՆԻՇՆԵՐ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_Toc164676864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9</w:t>
            </w:r>
            <w:r w:rsidR="00402209" w:rsidRPr="002B2B23">
              <w:rPr>
                <w:rStyle w:val="Hyperlink"/>
                <w:b/>
                <w:noProof/>
                <w:webHidden/>
              </w:rPr>
              <w:fldChar w:fldCharType="end"/>
            </w:r>
          </w:hyperlink>
        </w:p>
        <w:p w14:paraId="1F1CB7FE" w14:textId="3464474C" w:rsidR="00402209" w:rsidRPr="002B2B23" w:rsidRDefault="004066F9">
          <w:pPr>
            <w:pStyle w:val="TOC1"/>
            <w:tabs>
              <w:tab w:val="left" w:pos="1320"/>
              <w:tab w:val="right" w:leader="dot" w:pos="9912"/>
            </w:tabs>
            <w:rPr>
              <w:rStyle w:val="Hyperlink"/>
              <w:b/>
              <w:noProof/>
            </w:rPr>
          </w:pPr>
          <w:hyperlink w:anchor="_Toc164676865" w:history="1">
            <w:r w:rsidR="00402209" w:rsidRPr="002B2B23">
              <w:rPr>
                <w:rStyle w:val="Hyperlink"/>
                <w:b/>
                <w:noProof/>
              </w:rPr>
              <w:t>IV.</w:t>
            </w:r>
            <w:r w:rsidR="00402209" w:rsidRPr="002B2B23">
              <w:rPr>
                <w:rStyle w:val="Hyperlink"/>
                <w:b/>
                <w:noProof/>
              </w:rPr>
              <w:tab/>
              <w:t>ԱՆՀԱՄԱՊԱՏԱՍԽԱՆՈՒԹՅՈՒՆՆԵՐԻ ՎԵՐԱԲԵՐՅԱԼ ԳՐԱՌՈՒՄՆԵՐ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_Toc164676865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12</w:t>
            </w:r>
            <w:r w:rsidR="00402209" w:rsidRPr="002B2B23">
              <w:rPr>
                <w:rStyle w:val="Hyperlink"/>
                <w:b/>
                <w:noProof/>
                <w:webHidden/>
              </w:rPr>
              <w:fldChar w:fldCharType="end"/>
            </w:r>
          </w:hyperlink>
        </w:p>
        <w:p w14:paraId="2BCB535B" w14:textId="1B77D195" w:rsidR="00402209" w:rsidRPr="002B2B23" w:rsidRDefault="004066F9">
          <w:pPr>
            <w:pStyle w:val="TOC1"/>
            <w:tabs>
              <w:tab w:val="left" w:pos="1320"/>
              <w:tab w:val="right" w:leader="dot" w:pos="9912"/>
            </w:tabs>
            <w:rPr>
              <w:rStyle w:val="Hyperlink"/>
              <w:b/>
              <w:noProof/>
            </w:rPr>
          </w:pPr>
          <w:hyperlink w:anchor="_Toc164676873" w:history="1">
            <w:r w:rsidR="00402209" w:rsidRPr="002B2B23">
              <w:rPr>
                <w:rStyle w:val="Hyperlink"/>
                <w:b/>
                <w:noProof/>
              </w:rPr>
              <w:t>V.</w:t>
            </w:r>
            <w:r w:rsidR="00402209" w:rsidRPr="002B2B23">
              <w:rPr>
                <w:rStyle w:val="Hyperlink"/>
                <w:b/>
                <w:noProof/>
              </w:rPr>
              <w:tab/>
              <w:t>ԽԵՂԱԹՅՈՒՐՈՒՄՆԵՐԻ  ՎԵՐԱԲԵՐՅԱԼ ԳՐԱՌՈՒՄՆԵՐ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_Toc164676873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28</w:t>
            </w:r>
            <w:r w:rsidR="00402209" w:rsidRPr="002B2B23">
              <w:rPr>
                <w:rStyle w:val="Hyperlink"/>
                <w:b/>
                <w:noProof/>
                <w:webHidden/>
              </w:rPr>
              <w:fldChar w:fldCharType="end"/>
            </w:r>
          </w:hyperlink>
        </w:p>
        <w:p w14:paraId="324999DC" w14:textId="1E1DEDA4" w:rsidR="00402209" w:rsidRPr="002B2B23" w:rsidRDefault="004066F9" w:rsidP="000F4E4C">
          <w:pPr>
            <w:pStyle w:val="TOC1"/>
            <w:tabs>
              <w:tab w:val="left" w:pos="1320"/>
              <w:tab w:val="right" w:leader="dot" w:pos="9912"/>
            </w:tabs>
            <w:rPr>
              <w:rStyle w:val="Hyperlink"/>
              <w:b/>
              <w:noProof/>
            </w:rPr>
          </w:pPr>
          <w:hyperlink w:anchor="_Toc164676875" w:history="1">
            <w:r w:rsidR="00402209" w:rsidRPr="002B2B23">
              <w:rPr>
                <w:rStyle w:val="Hyperlink"/>
                <w:b/>
                <w:noProof/>
              </w:rPr>
              <w:t>VI.</w:t>
            </w:r>
            <w:r w:rsidR="00402209" w:rsidRPr="002B2B23">
              <w:rPr>
                <w:rStyle w:val="Hyperlink"/>
                <w:b/>
                <w:noProof/>
              </w:rPr>
              <w:tab/>
            </w:r>
            <w:r w:rsidR="00402209" w:rsidRPr="004C0C55">
              <w:rPr>
                <w:rStyle w:val="Hyperlink"/>
                <w:b/>
                <w:noProof/>
              </w:rPr>
              <w:t>ԱՅԼ ՓԱՍՏԵՐԻ</w:t>
            </w:r>
            <w:r w:rsidR="00402209" w:rsidRPr="002B2B23">
              <w:rPr>
                <w:rStyle w:val="Hyperlink"/>
                <w:b/>
                <w:noProof/>
              </w:rPr>
              <w:t xml:space="preserve"> ՎԵՐԱԲԵՐՅԱԼ ԳՐԱՌՈՒՄՆԵՐ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_Toc164676875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30</w:t>
            </w:r>
            <w:r w:rsidR="00402209" w:rsidRPr="002B2B23">
              <w:rPr>
                <w:rStyle w:val="Hyperlink"/>
                <w:b/>
                <w:noProof/>
                <w:webHidden/>
              </w:rPr>
              <w:fldChar w:fldCharType="end"/>
            </w:r>
          </w:hyperlink>
        </w:p>
        <w:p w14:paraId="4CA0518E" w14:textId="089EA536" w:rsidR="00402209" w:rsidRPr="002B2B23" w:rsidRDefault="004066F9">
          <w:pPr>
            <w:pStyle w:val="TOC1"/>
            <w:tabs>
              <w:tab w:val="left" w:pos="1320"/>
              <w:tab w:val="right" w:leader="dot" w:pos="9912"/>
            </w:tabs>
            <w:rPr>
              <w:rStyle w:val="Hyperlink"/>
              <w:b/>
              <w:noProof/>
            </w:rPr>
          </w:pPr>
          <w:hyperlink w:anchor="_Toc164676877" w:history="1">
            <w:r w:rsidR="00402209" w:rsidRPr="002B2B23">
              <w:rPr>
                <w:rStyle w:val="Hyperlink"/>
                <w:b/>
                <w:noProof/>
              </w:rPr>
              <w:t>VII.</w:t>
            </w:r>
            <w:r w:rsidR="00402209" w:rsidRPr="002B2B23">
              <w:rPr>
                <w:rStyle w:val="Hyperlink"/>
                <w:b/>
                <w:noProof/>
              </w:rPr>
              <w:tab/>
              <w:t>ԱՌԱՋԱՐԿՈՒԹՅՈՒՆՆԵՐ</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_Toc164676877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35</w:t>
            </w:r>
            <w:r w:rsidR="00402209" w:rsidRPr="002B2B23">
              <w:rPr>
                <w:rStyle w:val="Hyperlink"/>
                <w:b/>
                <w:noProof/>
                <w:webHidden/>
              </w:rPr>
              <w:fldChar w:fldCharType="end"/>
            </w:r>
          </w:hyperlink>
        </w:p>
        <w:p w14:paraId="3D659D1D" w14:textId="305602D5" w:rsidR="00402209" w:rsidRDefault="004066F9" w:rsidP="002B2B23">
          <w:pPr>
            <w:pStyle w:val="TOC1"/>
            <w:tabs>
              <w:tab w:val="left" w:pos="1320"/>
              <w:tab w:val="right" w:leader="dot" w:pos="9912"/>
            </w:tabs>
            <w:rPr>
              <w:rFonts w:asciiTheme="minorHAnsi" w:eastAsiaTheme="minorEastAsia" w:hAnsiTheme="minorHAnsi" w:cstheme="minorBidi"/>
              <w:noProof/>
              <w:sz w:val="22"/>
            </w:rPr>
          </w:pPr>
          <w:hyperlink w:anchor="_Toc164676878" w:history="1">
            <w:r w:rsidR="00402209" w:rsidRPr="002B2B23">
              <w:rPr>
                <w:rStyle w:val="Hyperlink"/>
                <w:b/>
                <w:noProof/>
              </w:rPr>
              <w:t>VIII.</w:t>
            </w:r>
            <w:r w:rsidR="00402209" w:rsidRPr="002B2B23">
              <w:rPr>
                <w:rStyle w:val="Hyperlink"/>
                <w:b/>
                <w:noProof/>
              </w:rPr>
              <w:tab/>
              <w:t>«ՀԵՏՀՍԿՈՂԱԿԱՆ ԳՈՐԾԸՆԹԱՑ»</w:t>
            </w:r>
            <w:r w:rsidR="00402209" w:rsidRPr="002B2B23">
              <w:rPr>
                <w:rStyle w:val="Hyperlink"/>
                <w:b/>
                <w:noProof/>
                <w:webHidden/>
              </w:rPr>
              <w:tab/>
            </w:r>
            <w:r w:rsidR="00402209" w:rsidRPr="002B2B23">
              <w:rPr>
                <w:rStyle w:val="Hyperlink"/>
                <w:b/>
                <w:noProof/>
                <w:webHidden/>
              </w:rPr>
              <w:fldChar w:fldCharType="begin"/>
            </w:r>
            <w:r w:rsidR="00402209" w:rsidRPr="002B2B23">
              <w:rPr>
                <w:rStyle w:val="Hyperlink"/>
                <w:b/>
                <w:noProof/>
                <w:webHidden/>
              </w:rPr>
              <w:instrText xml:space="preserve"> PAGEREF _Toc164676878 \h </w:instrText>
            </w:r>
            <w:r w:rsidR="00402209" w:rsidRPr="002B2B23">
              <w:rPr>
                <w:rStyle w:val="Hyperlink"/>
                <w:b/>
                <w:noProof/>
                <w:webHidden/>
              </w:rPr>
            </w:r>
            <w:r w:rsidR="00402209" w:rsidRPr="002B2B23">
              <w:rPr>
                <w:rStyle w:val="Hyperlink"/>
                <w:b/>
                <w:noProof/>
                <w:webHidden/>
              </w:rPr>
              <w:fldChar w:fldCharType="separate"/>
            </w:r>
            <w:r w:rsidR="003F7459">
              <w:rPr>
                <w:rStyle w:val="Hyperlink"/>
                <w:b/>
                <w:noProof/>
                <w:webHidden/>
              </w:rPr>
              <w:t>37</w:t>
            </w:r>
            <w:r w:rsidR="00402209" w:rsidRPr="002B2B23">
              <w:rPr>
                <w:rStyle w:val="Hyperlink"/>
                <w:b/>
                <w:noProof/>
                <w:webHidden/>
              </w:rPr>
              <w:fldChar w:fldCharType="end"/>
            </w:r>
          </w:hyperlink>
        </w:p>
        <w:p w14:paraId="7E4923EB" w14:textId="77777777" w:rsidR="005D101C" w:rsidRPr="000F123F" w:rsidRDefault="005D101C" w:rsidP="000F4E4C">
          <w:pPr>
            <w:ind w:firstLine="0"/>
          </w:pPr>
          <w:r w:rsidRPr="005D101C">
            <w:rPr>
              <w:b/>
              <w:bCs/>
              <w:noProof/>
              <w:highlight w:val="yellow"/>
            </w:rPr>
            <w:fldChar w:fldCharType="end"/>
          </w:r>
        </w:p>
      </w:sdtContent>
    </w:sdt>
    <w:p w14:paraId="56F3EC06" w14:textId="77777777" w:rsidR="005D101C" w:rsidRPr="000F123F" w:rsidRDefault="005D101C" w:rsidP="005D101C">
      <w:pPr>
        <w:spacing w:before="0" w:after="160" w:line="256" w:lineRule="auto"/>
        <w:ind w:firstLine="0"/>
        <w:jc w:val="center"/>
        <w:rPr>
          <w:rFonts w:cs="Sylfaen"/>
          <w:b/>
          <w:bCs/>
          <w:color w:val="0070C0"/>
          <w:sz w:val="28"/>
          <w:szCs w:val="28"/>
        </w:rPr>
      </w:pPr>
    </w:p>
    <w:p w14:paraId="66B2938B" w14:textId="77777777" w:rsidR="005D101C" w:rsidRPr="000F123F" w:rsidRDefault="005D101C" w:rsidP="005D101C"/>
    <w:p w14:paraId="6BD334E1" w14:textId="77777777" w:rsidR="005D101C" w:rsidRPr="000F123F" w:rsidRDefault="005D101C" w:rsidP="005D101C"/>
    <w:p w14:paraId="20A07F78" w14:textId="77777777" w:rsidR="005D101C" w:rsidRPr="000F123F" w:rsidRDefault="005D101C" w:rsidP="005D101C"/>
    <w:p w14:paraId="4846EF71" w14:textId="77777777" w:rsidR="005D101C" w:rsidRPr="000F123F" w:rsidRDefault="005D101C" w:rsidP="005D101C"/>
    <w:p w14:paraId="645C9B83" w14:textId="77777777" w:rsidR="005D101C" w:rsidRPr="000F123F" w:rsidRDefault="005D101C" w:rsidP="005D101C"/>
    <w:p w14:paraId="4FC6EC25" w14:textId="77777777" w:rsidR="005D101C" w:rsidRPr="000F123F" w:rsidRDefault="005D101C" w:rsidP="005D101C"/>
    <w:p w14:paraId="1D5E3570" w14:textId="77777777" w:rsidR="005D101C" w:rsidRPr="000F123F" w:rsidRDefault="005D101C" w:rsidP="005D101C"/>
    <w:p w14:paraId="4234D60A" w14:textId="77777777" w:rsidR="005D101C" w:rsidRPr="000F123F" w:rsidRDefault="005D101C" w:rsidP="005D101C"/>
    <w:p w14:paraId="00041AFF" w14:textId="77777777" w:rsidR="005D101C" w:rsidRDefault="005D101C" w:rsidP="005D101C"/>
    <w:p w14:paraId="388C688D" w14:textId="77777777" w:rsidR="005D101C" w:rsidRPr="000F123F" w:rsidRDefault="005D101C" w:rsidP="005D101C"/>
    <w:tbl>
      <w:tblPr>
        <w:tblpPr w:leftFromText="180" w:rightFromText="180" w:vertAnchor="text" w:horzAnchor="margin" w:tblpY="364"/>
        <w:tblW w:w="9432" w:type="dxa"/>
        <w:tblLook w:val="04A0" w:firstRow="1" w:lastRow="0" w:firstColumn="1" w:lastColumn="0" w:noHBand="0" w:noVBand="1"/>
      </w:tblPr>
      <w:tblGrid>
        <w:gridCol w:w="2718"/>
        <w:gridCol w:w="6714"/>
      </w:tblGrid>
      <w:tr w:rsidR="005D101C" w:rsidRPr="000F123F" w14:paraId="181DDFD6" w14:textId="77777777" w:rsidTr="00F940A3">
        <w:tc>
          <w:tcPr>
            <w:tcW w:w="2718" w:type="dxa"/>
          </w:tcPr>
          <w:p w14:paraId="7D93C0BD"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lastRenderedPageBreak/>
              <w:t>Հաշվեքննության հիմքը</w:t>
            </w:r>
          </w:p>
          <w:p w14:paraId="2856005B" w14:textId="77777777" w:rsidR="005D101C" w:rsidRPr="000F123F" w:rsidRDefault="005D101C" w:rsidP="00F940A3">
            <w:pPr>
              <w:spacing w:before="0" w:after="0" w:line="240" w:lineRule="auto"/>
              <w:ind w:firstLine="0"/>
              <w:jc w:val="left"/>
              <w:rPr>
                <w:b/>
                <w:color w:val="0070C0"/>
                <w:szCs w:val="24"/>
              </w:rPr>
            </w:pPr>
          </w:p>
        </w:tc>
        <w:tc>
          <w:tcPr>
            <w:tcW w:w="6714" w:type="dxa"/>
          </w:tcPr>
          <w:p w14:paraId="065879E8" w14:textId="77777777" w:rsidR="005D101C" w:rsidRPr="000F123F" w:rsidRDefault="005D101C" w:rsidP="00F940A3">
            <w:pPr>
              <w:spacing w:after="0" w:line="360" w:lineRule="auto"/>
              <w:ind w:firstLine="0"/>
              <w:rPr>
                <w:szCs w:val="24"/>
              </w:rPr>
            </w:pPr>
            <w:r w:rsidRPr="000F123F">
              <w:rPr>
                <w:szCs w:val="24"/>
              </w:rPr>
              <w:t>Հաշվեքննիչ պալատի</w:t>
            </w:r>
            <w:r w:rsidR="004C7046">
              <w:rPr>
                <w:szCs w:val="24"/>
              </w:rPr>
              <w:t xml:space="preserve"> 2024 թականի</w:t>
            </w:r>
            <w:r w:rsidR="00402209">
              <w:rPr>
                <w:szCs w:val="24"/>
              </w:rPr>
              <w:t xml:space="preserve"> </w:t>
            </w:r>
            <w:r w:rsidR="00F940A3" w:rsidRPr="00F940A3">
              <w:rPr>
                <w:szCs w:val="24"/>
              </w:rPr>
              <w:t>դեկտեմբերի 26-ի թիվ 181-</w:t>
            </w:r>
            <w:r w:rsidR="00F940A3">
              <w:rPr>
                <w:caps/>
                <w:szCs w:val="24"/>
              </w:rPr>
              <w:t xml:space="preserve">Ա </w:t>
            </w:r>
            <w:r w:rsidRPr="000F123F">
              <w:rPr>
                <w:szCs w:val="24"/>
              </w:rPr>
              <w:t>որոշում։</w:t>
            </w:r>
          </w:p>
          <w:p w14:paraId="0B495A67" w14:textId="77777777" w:rsidR="005D101C" w:rsidRPr="000F123F" w:rsidRDefault="005D101C" w:rsidP="00F940A3">
            <w:pPr>
              <w:spacing w:before="0" w:after="0" w:line="240" w:lineRule="auto"/>
              <w:ind w:firstLine="0"/>
              <w:rPr>
                <w:szCs w:val="24"/>
              </w:rPr>
            </w:pPr>
          </w:p>
        </w:tc>
      </w:tr>
      <w:tr w:rsidR="005D101C" w:rsidRPr="000F123F" w14:paraId="3C502117" w14:textId="77777777" w:rsidTr="00F940A3">
        <w:tc>
          <w:tcPr>
            <w:tcW w:w="2718" w:type="dxa"/>
          </w:tcPr>
          <w:p w14:paraId="4D20D3FB"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t>Հաշվեքննության օբյեկտը</w:t>
            </w:r>
          </w:p>
          <w:p w14:paraId="7F7129B5" w14:textId="77777777" w:rsidR="005D101C" w:rsidRPr="000F123F" w:rsidRDefault="005D101C" w:rsidP="00F940A3">
            <w:pPr>
              <w:spacing w:before="0" w:after="0" w:line="240" w:lineRule="auto"/>
              <w:ind w:firstLine="0"/>
              <w:jc w:val="left"/>
              <w:rPr>
                <w:b/>
                <w:color w:val="0070C0"/>
                <w:szCs w:val="24"/>
              </w:rPr>
            </w:pPr>
          </w:p>
        </w:tc>
        <w:tc>
          <w:tcPr>
            <w:tcW w:w="6714" w:type="dxa"/>
          </w:tcPr>
          <w:p w14:paraId="335A09AE" w14:textId="77777777" w:rsidR="005D101C" w:rsidRPr="000F123F" w:rsidRDefault="005D101C" w:rsidP="00F940A3">
            <w:pPr>
              <w:spacing w:before="0" w:after="0" w:line="240" w:lineRule="auto"/>
              <w:ind w:firstLine="0"/>
              <w:rPr>
                <w:szCs w:val="24"/>
              </w:rPr>
            </w:pPr>
            <w:r w:rsidRPr="000F123F">
              <w:rPr>
                <w:rFonts w:eastAsia="Calibri" w:cs="Sylfaen"/>
                <w:szCs w:val="24"/>
                <w:lang w:val="hy-AM"/>
              </w:rPr>
              <w:t>ՀՀ  պետական եկամուտների կոմիտե</w:t>
            </w:r>
            <w:r>
              <w:rPr>
                <w:rFonts w:eastAsia="Calibri" w:cs="Sylfaen"/>
                <w:szCs w:val="24"/>
              </w:rPr>
              <w:t xml:space="preserve"> /այսուհետ՝ ՊԵԿ/</w:t>
            </w:r>
            <w:r w:rsidRPr="000F123F">
              <w:rPr>
                <w:szCs w:val="24"/>
              </w:rPr>
              <w:t>։</w:t>
            </w:r>
          </w:p>
          <w:p w14:paraId="203214AE" w14:textId="77777777" w:rsidR="005D101C" w:rsidRPr="000F123F" w:rsidRDefault="005D101C" w:rsidP="00F940A3">
            <w:pPr>
              <w:spacing w:before="0" w:after="0" w:line="240" w:lineRule="auto"/>
              <w:ind w:firstLine="0"/>
              <w:rPr>
                <w:szCs w:val="24"/>
              </w:rPr>
            </w:pPr>
          </w:p>
        </w:tc>
      </w:tr>
      <w:tr w:rsidR="005D101C" w:rsidRPr="000F123F" w14:paraId="7E621EE9" w14:textId="77777777" w:rsidTr="00F940A3">
        <w:tc>
          <w:tcPr>
            <w:tcW w:w="2718" w:type="dxa"/>
          </w:tcPr>
          <w:p w14:paraId="69124CF0"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t>Հաշվեքննության առարկան</w:t>
            </w:r>
          </w:p>
          <w:p w14:paraId="7E1E8E5E" w14:textId="77777777" w:rsidR="005D101C" w:rsidRPr="000F123F" w:rsidRDefault="005D101C" w:rsidP="00F940A3">
            <w:pPr>
              <w:spacing w:before="0" w:after="0" w:line="240" w:lineRule="auto"/>
              <w:ind w:firstLine="0"/>
              <w:jc w:val="left"/>
              <w:rPr>
                <w:b/>
                <w:color w:val="0070C0"/>
                <w:szCs w:val="24"/>
              </w:rPr>
            </w:pPr>
          </w:p>
        </w:tc>
        <w:tc>
          <w:tcPr>
            <w:tcW w:w="6714" w:type="dxa"/>
          </w:tcPr>
          <w:p w14:paraId="75489DA9" w14:textId="77777777" w:rsidR="005D101C" w:rsidRPr="000F123F" w:rsidRDefault="005D101C" w:rsidP="00F940A3">
            <w:pPr>
              <w:tabs>
                <w:tab w:val="left" w:pos="851"/>
              </w:tabs>
              <w:spacing w:before="0" w:after="0" w:line="240" w:lineRule="auto"/>
              <w:ind w:firstLine="0"/>
              <w:rPr>
                <w:rFonts w:eastAsia="Times New Roman"/>
                <w:szCs w:val="24"/>
                <w:lang w:val="hy-AM"/>
              </w:rPr>
            </w:pPr>
            <w:r w:rsidRPr="000F123F">
              <w:rPr>
                <w:szCs w:val="24"/>
              </w:rPr>
              <w:t>2023 թվականի պետական բյուջեի մուտքերի ձևա</w:t>
            </w:r>
            <w:r w:rsidRPr="000F123F">
              <w:rPr>
                <w:szCs w:val="24"/>
              </w:rPr>
              <w:softHyphen/>
              <w:t>վորման և ելքերի իրականացման կանոնակարգված գործունեություն</w:t>
            </w:r>
            <w:r w:rsidRPr="000F123F">
              <w:rPr>
                <w:rFonts w:eastAsia="Times New Roman"/>
                <w:szCs w:val="24"/>
                <w:lang w:val="hy-AM"/>
              </w:rPr>
              <w:t>:</w:t>
            </w:r>
          </w:p>
          <w:p w14:paraId="7DD563C9" w14:textId="77777777" w:rsidR="005D101C" w:rsidRPr="000F123F" w:rsidRDefault="005D101C" w:rsidP="00F940A3">
            <w:pPr>
              <w:spacing w:before="0" w:after="0" w:line="240" w:lineRule="auto"/>
              <w:ind w:firstLine="0"/>
              <w:rPr>
                <w:szCs w:val="24"/>
                <w:lang w:val="hy-AM"/>
              </w:rPr>
            </w:pPr>
          </w:p>
        </w:tc>
      </w:tr>
      <w:tr w:rsidR="005D101C" w:rsidRPr="00B54092" w14:paraId="60EDDD74" w14:textId="77777777" w:rsidTr="00F940A3">
        <w:tc>
          <w:tcPr>
            <w:tcW w:w="2718" w:type="dxa"/>
          </w:tcPr>
          <w:p w14:paraId="1548CB74" w14:textId="77777777" w:rsidR="005D101C" w:rsidRPr="000F123F" w:rsidRDefault="005D101C" w:rsidP="00F940A3">
            <w:pPr>
              <w:spacing w:before="0" w:after="0" w:line="240" w:lineRule="auto"/>
              <w:ind w:firstLine="0"/>
              <w:jc w:val="left"/>
              <w:rPr>
                <w:b/>
                <w:color w:val="0070C0"/>
                <w:szCs w:val="24"/>
                <w:lang w:val="hy-AM"/>
              </w:rPr>
            </w:pPr>
            <w:r w:rsidRPr="000F123F">
              <w:rPr>
                <w:b/>
                <w:color w:val="0070C0"/>
                <w:szCs w:val="24"/>
                <w:lang w:val="hy-AM"/>
              </w:rPr>
              <w:t>Հաշվեքննության</w:t>
            </w:r>
            <w:r w:rsidRPr="000F123F">
              <w:rPr>
                <w:b/>
                <w:color w:val="0070C0"/>
                <w:szCs w:val="24"/>
              </w:rPr>
              <w:t xml:space="preserve"> առարկայի</w:t>
            </w:r>
            <w:r w:rsidRPr="000F123F">
              <w:rPr>
                <w:b/>
                <w:color w:val="0070C0"/>
                <w:szCs w:val="24"/>
                <w:lang w:val="hy-AM"/>
              </w:rPr>
              <w:t xml:space="preserve"> չափանիշները</w:t>
            </w:r>
          </w:p>
          <w:p w14:paraId="24B1EFE4" w14:textId="77777777" w:rsidR="005D101C" w:rsidRPr="000F123F" w:rsidRDefault="005D101C" w:rsidP="00F940A3">
            <w:pPr>
              <w:spacing w:before="0" w:after="0" w:line="240" w:lineRule="auto"/>
              <w:ind w:firstLine="0"/>
              <w:jc w:val="left"/>
              <w:rPr>
                <w:b/>
                <w:color w:val="0070C0"/>
                <w:szCs w:val="24"/>
                <w:lang w:val="hy-AM"/>
              </w:rPr>
            </w:pPr>
          </w:p>
        </w:tc>
        <w:tc>
          <w:tcPr>
            <w:tcW w:w="6714" w:type="dxa"/>
          </w:tcPr>
          <w:p w14:paraId="594CD3FF" w14:textId="77777777" w:rsidR="005D101C" w:rsidRPr="000F123F" w:rsidRDefault="005D101C" w:rsidP="00F940A3">
            <w:pPr>
              <w:spacing w:before="0" w:after="0" w:line="240" w:lineRule="auto"/>
              <w:ind w:firstLine="0"/>
              <w:rPr>
                <w:bCs/>
                <w:szCs w:val="24"/>
                <w:lang w:val="hy-AM"/>
              </w:rPr>
            </w:pPr>
            <w:r w:rsidRPr="000F123F">
              <w:rPr>
                <w:bCs/>
                <w:szCs w:val="24"/>
                <w:lang w:val="hy-AM"/>
              </w:rPr>
              <w:t>1</w:t>
            </w:r>
            <w:r w:rsidRPr="000F123F">
              <w:rPr>
                <w:rFonts w:ascii="Cambria Math" w:hAnsi="Cambria Math" w:cs="Cambria Math"/>
                <w:bCs/>
                <w:szCs w:val="24"/>
                <w:lang w:val="hy-AM"/>
              </w:rPr>
              <w:t>․</w:t>
            </w:r>
            <w:r w:rsidRPr="000F123F">
              <w:rPr>
                <w:bCs/>
                <w:szCs w:val="24"/>
                <w:lang w:val="hy-AM"/>
              </w:rPr>
              <w:t xml:space="preserve"> ՀՀ հարկային օրենսգիրք, </w:t>
            </w:r>
          </w:p>
          <w:p w14:paraId="736DB321" w14:textId="77777777" w:rsidR="005D101C" w:rsidRPr="000F123F" w:rsidRDefault="005D101C" w:rsidP="00F940A3">
            <w:pPr>
              <w:spacing w:before="0" w:after="0" w:line="240" w:lineRule="auto"/>
              <w:ind w:firstLine="0"/>
              <w:rPr>
                <w:bCs/>
                <w:szCs w:val="24"/>
                <w:lang w:val="hy-AM"/>
              </w:rPr>
            </w:pPr>
            <w:r w:rsidRPr="000F123F">
              <w:rPr>
                <w:bCs/>
                <w:szCs w:val="24"/>
                <w:lang w:val="hy-AM"/>
              </w:rPr>
              <w:t>2. ՀՀ աշխատանքային օրենսգիրք,</w:t>
            </w:r>
          </w:p>
          <w:p w14:paraId="527DDC7E" w14:textId="77777777" w:rsidR="00FB3379" w:rsidRPr="00FB3379" w:rsidRDefault="005D101C" w:rsidP="00F940A3">
            <w:pPr>
              <w:spacing w:before="0" w:after="0" w:line="240" w:lineRule="auto"/>
              <w:ind w:firstLine="0"/>
              <w:rPr>
                <w:bCs/>
                <w:szCs w:val="24"/>
                <w:lang w:val="hy-AM"/>
              </w:rPr>
            </w:pPr>
            <w:r w:rsidRPr="000F123F">
              <w:rPr>
                <w:bCs/>
                <w:szCs w:val="24"/>
                <w:lang w:val="hy-AM"/>
              </w:rPr>
              <w:t>3</w:t>
            </w:r>
            <w:r w:rsidR="00FB3379" w:rsidRPr="00FB3379">
              <w:rPr>
                <w:bCs/>
                <w:szCs w:val="24"/>
                <w:lang w:val="hy-AM"/>
              </w:rPr>
              <w:t xml:space="preserve">. </w:t>
            </w:r>
            <w:r w:rsidR="00FB3379" w:rsidRPr="000F123F">
              <w:rPr>
                <w:bCs/>
                <w:szCs w:val="24"/>
                <w:lang w:val="hy-AM"/>
              </w:rPr>
              <w:t>«Հարկային ծառայության մասին» ՀՀ օրենք</w:t>
            </w:r>
            <w:r w:rsidR="00FB3379" w:rsidRPr="00FB3379">
              <w:rPr>
                <w:bCs/>
                <w:szCs w:val="24"/>
                <w:lang w:val="hy-AM"/>
              </w:rPr>
              <w:t>,</w:t>
            </w:r>
          </w:p>
          <w:p w14:paraId="4180B001" w14:textId="77777777" w:rsidR="005D101C" w:rsidRPr="000F123F" w:rsidRDefault="005D101C" w:rsidP="00F940A3">
            <w:pPr>
              <w:spacing w:before="0" w:after="0" w:line="240" w:lineRule="auto"/>
              <w:ind w:firstLine="0"/>
              <w:rPr>
                <w:bCs/>
                <w:szCs w:val="24"/>
                <w:lang w:val="hy-AM"/>
              </w:rPr>
            </w:pPr>
            <w:r w:rsidRPr="000F123F">
              <w:rPr>
                <w:bCs/>
                <w:szCs w:val="24"/>
                <w:lang w:val="hy-AM"/>
              </w:rPr>
              <w:t>4.</w:t>
            </w:r>
            <w:r w:rsidR="00FB3379" w:rsidRPr="00FB3379">
              <w:rPr>
                <w:bCs/>
                <w:szCs w:val="24"/>
                <w:lang w:val="hy-AM"/>
              </w:rPr>
              <w:t xml:space="preserve"> </w:t>
            </w:r>
            <w:r w:rsidR="00FB3379" w:rsidRPr="000F123F">
              <w:rPr>
                <w:bCs/>
                <w:szCs w:val="24"/>
                <w:lang w:val="hy-AM"/>
              </w:rPr>
              <w:t>«Գնումների մասին» ՀՀ օրենք,</w:t>
            </w:r>
          </w:p>
          <w:p w14:paraId="00ECF53A" w14:textId="77777777" w:rsidR="005D101C" w:rsidRPr="000F123F" w:rsidRDefault="005D101C" w:rsidP="00F940A3">
            <w:pPr>
              <w:spacing w:before="0" w:after="0" w:line="240" w:lineRule="auto"/>
              <w:ind w:firstLine="0"/>
              <w:rPr>
                <w:bCs/>
                <w:szCs w:val="24"/>
                <w:lang w:val="hy-AM"/>
              </w:rPr>
            </w:pPr>
            <w:r w:rsidRPr="000F123F">
              <w:rPr>
                <w:bCs/>
                <w:szCs w:val="24"/>
                <w:lang w:val="hy-AM"/>
              </w:rPr>
              <w:t xml:space="preserve">5. </w:t>
            </w:r>
            <w:r w:rsidR="00FB3379" w:rsidRPr="000F123F">
              <w:rPr>
                <w:bCs/>
                <w:szCs w:val="24"/>
                <w:lang w:val="hy-AM"/>
              </w:rPr>
              <w:t>«Քաղաքացիական ծառայության մասին» ՀՀ օրենք,</w:t>
            </w:r>
          </w:p>
          <w:p w14:paraId="1D8863E6" w14:textId="77777777" w:rsidR="005D101C" w:rsidRPr="000F123F" w:rsidRDefault="005D101C" w:rsidP="00F940A3">
            <w:pPr>
              <w:spacing w:before="0" w:after="0" w:line="240" w:lineRule="auto"/>
              <w:ind w:firstLine="0"/>
              <w:rPr>
                <w:bCs/>
                <w:szCs w:val="24"/>
                <w:lang w:val="hy-AM"/>
              </w:rPr>
            </w:pPr>
            <w:r w:rsidRPr="000F123F">
              <w:rPr>
                <w:bCs/>
                <w:szCs w:val="24"/>
                <w:lang w:val="hy-AM"/>
              </w:rPr>
              <w:t>6.</w:t>
            </w:r>
            <w:r w:rsidRPr="0029448B">
              <w:rPr>
                <w:bCs/>
                <w:szCs w:val="24"/>
                <w:lang w:val="hy-AM"/>
              </w:rPr>
              <w:t xml:space="preserve"> </w:t>
            </w:r>
            <w:r w:rsidR="00FB3379" w:rsidRPr="000F123F">
              <w:rPr>
                <w:bCs/>
                <w:szCs w:val="24"/>
                <w:lang w:val="hy-AM"/>
              </w:rPr>
              <w:t xml:space="preserve">«Ներքին աուդիտի մասին» ՀՀ օրենք,  </w:t>
            </w:r>
          </w:p>
          <w:p w14:paraId="146D4061" w14:textId="77777777" w:rsidR="00FB3379" w:rsidRPr="000F123F" w:rsidRDefault="005D101C" w:rsidP="00FB3379">
            <w:pPr>
              <w:spacing w:before="0" w:after="0" w:line="240" w:lineRule="auto"/>
              <w:ind w:firstLine="0"/>
              <w:rPr>
                <w:bCs/>
                <w:szCs w:val="24"/>
                <w:lang w:val="hy-AM"/>
              </w:rPr>
            </w:pPr>
            <w:r w:rsidRPr="000F123F">
              <w:rPr>
                <w:bCs/>
                <w:szCs w:val="24"/>
                <w:lang w:val="hy-AM"/>
              </w:rPr>
              <w:t>7.</w:t>
            </w:r>
            <w:r w:rsidR="00FB3379" w:rsidRPr="00FB3379">
              <w:rPr>
                <w:bCs/>
                <w:szCs w:val="24"/>
                <w:lang w:val="hy-AM"/>
              </w:rPr>
              <w:t>«Հանրային հատվածի կազմակերպությունների հաշվապահական հաշվառման մասին»</w:t>
            </w:r>
            <w:r w:rsidR="002E74C6" w:rsidRPr="002E74C6">
              <w:rPr>
                <w:bCs/>
                <w:szCs w:val="24"/>
                <w:lang w:val="hy-AM"/>
              </w:rPr>
              <w:t xml:space="preserve"> </w:t>
            </w:r>
            <w:r w:rsidR="00FB3379" w:rsidRPr="000F123F">
              <w:rPr>
                <w:bCs/>
                <w:szCs w:val="24"/>
                <w:lang w:val="hy-AM"/>
              </w:rPr>
              <w:t xml:space="preserve">ՀՀ օրենք, </w:t>
            </w:r>
          </w:p>
          <w:p w14:paraId="3E4B95B4" w14:textId="77777777" w:rsidR="005D101C" w:rsidRPr="000F123F" w:rsidRDefault="005D101C" w:rsidP="00F940A3">
            <w:pPr>
              <w:spacing w:before="0" w:after="0" w:line="240" w:lineRule="auto"/>
              <w:ind w:firstLine="0"/>
              <w:rPr>
                <w:bCs/>
                <w:szCs w:val="24"/>
                <w:lang w:val="hy-AM"/>
              </w:rPr>
            </w:pPr>
            <w:r w:rsidRPr="000F123F">
              <w:rPr>
                <w:bCs/>
                <w:szCs w:val="24"/>
                <w:lang w:val="hy-AM"/>
              </w:rPr>
              <w:t>8.</w:t>
            </w:r>
            <w:r w:rsidR="00FB3379" w:rsidRPr="000F123F">
              <w:rPr>
                <w:bCs/>
                <w:szCs w:val="24"/>
                <w:lang w:val="hy-AM"/>
              </w:rPr>
              <w:t xml:space="preserve">Պետական բյուջեի 2023 թվականի </w:t>
            </w:r>
            <w:r w:rsidR="00FB3379" w:rsidRPr="005D101C">
              <w:rPr>
                <w:bCs/>
                <w:szCs w:val="24"/>
                <w:lang w:val="hy-AM"/>
              </w:rPr>
              <w:t>տարեկան</w:t>
            </w:r>
            <w:r w:rsidR="00FB3379" w:rsidRPr="000F123F">
              <w:rPr>
                <w:bCs/>
                <w:szCs w:val="24"/>
                <w:lang w:val="hy-AM"/>
              </w:rPr>
              <w:t xml:space="preserve"> կատարողականի վերաբերյալ հաշվետվություն,  </w:t>
            </w:r>
          </w:p>
          <w:p w14:paraId="74BAEF05" w14:textId="77777777" w:rsidR="005D101C" w:rsidRPr="00E3172F" w:rsidRDefault="005D101C" w:rsidP="00F940A3">
            <w:pPr>
              <w:spacing w:before="0" w:after="0" w:line="240" w:lineRule="auto"/>
              <w:ind w:firstLine="0"/>
              <w:rPr>
                <w:bCs/>
                <w:szCs w:val="24"/>
                <w:lang w:val="hy-AM"/>
              </w:rPr>
            </w:pPr>
            <w:r w:rsidRPr="000F123F">
              <w:rPr>
                <w:bCs/>
                <w:szCs w:val="24"/>
                <w:lang w:val="hy-AM"/>
              </w:rPr>
              <w:t>9.</w:t>
            </w:r>
            <w:r w:rsidR="00FB3379" w:rsidRPr="000F123F">
              <w:rPr>
                <w:bCs/>
                <w:szCs w:val="24"/>
                <w:lang w:val="hy-AM"/>
              </w:rPr>
              <w:t xml:space="preserve"> Պետության կողմից դրամաշնորհի ձևով տրամադրվող ֆինանսական աջակցության գումարների օգտագործման մասին պայմանագրեր</w:t>
            </w:r>
            <w:r w:rsidR="00FB3379" w:rsidRPr="00E3172F">
              <w:rPr>
                <w:bCs/>
                <w:szCs w:val="24"/>
                <w:lang w:val="hy-AM"/>
              </w:rPr>
              <w:t>,</w:t>
            </w:r>
          </w:p>
          <w:p w14:paraId="4270860E" w14:textId="77777777" w:rsidR="005D101C" w:rsidRPr="00E3172F" w:rsidRDefault="005D101C" w:rsidP="00F940A3">
            <w:pPr>
              <w:spacing w:before="0" w:after="0" w:line="240" w:lineRule="auto"/>
              <w:ind w:firstLine="0"/>
              <w:rPr>
                <w:bCs/>
                <w:szCs w:val="24"/>
                <w:lang w:val="hy-AM"/>
              </w:rPr>
            </w:pPr>
            <w:r w:rsidRPr="00E3172F">
              <w:rPr>
                <w:bCs/>
                <w:szCs w:val="24"/>
                <w:lang w:val="hy-AM"/>
              </w:rPr>
              <w:t>10.</w:t>
            </w:r>
            <w:r w:rsidRPr="00E3172F">
              <w:rPr>
                <w:rFonts w:cs="Sylfaen"/>
                <w:szCs w:val="24"/>
                <w:lang w:val="hy-AM"/>
              </w:rPr>
              <w:t>ՀՀ ֆ</w:t>
            </w:r>
            <w:r w:rsidRPr="000F123F">
              <w:rPr>
                <w:rFonts w:cs="Sylfaen"/>
                <w:szCs w:val="24"/>
                <w:lang w:val="hy-AM"/>
              </w:rPr>
              <w:t>ինանսների և Էկոնոմիկայի նախարարի 2007 թվականի հունվարի 9-ի Հայաստանի Հանրապետության բյուջետային ու հանրային հատվածի հաշվապահական հաշվառման դասակարգումները և դրանց կիրառման ցուցումները հաստատելու մասին թիվ 5-Ն հրաման</w:t>
            </w:r>
            <w:r w:rsidRPr="00E3172F">
              <w:rPr>
                <w:rFonts w:cs="Sylfaen"/>
                <w:szCs w:val="24"/>
                <w:lang w:val="hy-AM"/>
              </w:rPr>
              <w:t>:</w:t>
            </w:r>
          </w:p>
          <w:p w14:paraId="71D3AF02" w14:textId="77777777" w:rsidR="005D101C" w:rsidRPr="000F123F" w:rsidRDefault="005D101C" w:rsidP="00F940A3">
            <w:pPr>
              <w:spacing w:before="0" w:after="0" w:line="240" w:lineRule="auto"/>
              <w:ind w:firstLine="0"/>
              <w:rPr>
                <w:bCs/>
                <w:szCs w:val="24"/>
                <w:lang w:val="hy-AM"/>
              </w:rPr>
            </w:pPr>
          </w:p>
        </w:tc>
      </w:tr>
      <w:tr w:rsidR="005D101C" w:rsidRPr="000F123F" w14:paraId="1AC50735" w14:textId="77777777" w:rsidTr="00F940A3">
        <w:tc>
          <w:tcPr>
            <w:tcW w:w="2718" w:type="dxa"/>
          </w:tcPr>
          <w:p w14:paraId="2055A38D"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t xml:space="preserve">Հաշվեքննությունն </w:t>
            </w:r>
          </w:p>
          <w:p w14:paraId="10702E18"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t>ընդգրկող ժամանակաշրջանը</w:t>
            </w:r>
          </w:p>
          <w:p w14:paraId="3AA50857" w14:textId="77777777" w:rsidR="005D101C" w:rsidRPr="000F123F" w:rsidRDefault="005D101C" w:rsidP="00F940A3">
            <w:pPr>
              <w:spacing w:before="0" w:after="0" w:line="240" w:lineRule="auto"/>
              <w:ind w:firstLine="0"/>
              <w:jc w:val="left"/>
              <w:rPr>
                <w:b/>
                <w:color w:val="0070C0"/>
                <w:szCs w:val="24"/>
              </w:rPr>
            </w:pPr>
          </w:p>
        </w:tc>
        <w:tc>
          <w:tcPr>
            <w:tcW w:w="6714" w:type="dxa"/>
            <w:hideMark/>
          </w:tcPr>
          <w:p w14:paraId="683DBF3B" w14:textId="77777777" w:rsidR="005D101C" w:rsidRPr="000F123F" w:rsidRDefault="005D101C" w:rsidP="00F940A3">
            <w:pPr>
              <w:tabs>
                <w:tab w:val="left" w:pos="851"/>
              </w:tabs>
              <w:spacing w:after="0" w:line="240" w:lineRule="auto"/>
              <w:ind w:firstLine="0"/>
              <w:rPr>
                <w:rFonts w:eastAsia="Times New Roman"/>
                <w:szCs w:val="24"/>
                <w:lang w:val="hy-AM"/>
              </w:rPr>
            </w:pPr>
            <w:r w:rsidRPr="000F123F">
              <w:rPr>
                <w:rFonts w:eastAsia="Times New Roman"/>
                <w:szCs w:val="24"/>
                <w:lang w:val="hy-AM"/>
              </w:rPr>
              <w:t xml:space="preserve">2023 թվականի հունվարի 1–ից մինչև 2023 թվականի </w:t>
            </w:r>
            <w:r w:rsidR="00F940A3">
              <w:rPr>
                <w:rFonts w:eastAsia="Times New Roman"/>
                <w:szCs w:val="24"/>
              </w:rPr>
              <w:t xml:space="preserve">դեկտեմբերի </w:t>
            </w:r>
            <w:r w:rsidR="00F940A3">
              <w:rPr>
                <w:rFonts w:eastAsia="Times New Roman"/>
                <w:szCs w:val="24"/>
                <w:lang w:val="hy-AM"/>
              </w:rPr>
              <w:t>31</w:t>
            </w:r>
            <w:r w:rsidRPr="000F123F">
              <w:rPr>
                <w:rFonts w:eastAsia="Times New Roman"/>
                <w:szCs w:val="24"/>
                <w:lang w:val="hy-AM"/>
              </w:rPr>
              <w:t>–ը:</w:t>
            </w:r>
          </w:p>
          <w:p w14:paraId="23DE1B2B" w14:textId="77777777" w:rsidR="005D101C" w:rsidRPr="000F123F" w:rsidRDefault="005D101C" w:rsidP="00F940A3">
            <w:pPr>
              <w:tabs>
                <w:tab w:val="left" w:pos="851"/>
              </w:tabs>
              <w:spacing w:before="0" w:after="0" w:line="240" w:lineRule="auto"/>
              <w:ind w:firstLine="0"/>
              <w:rPr>
                <w:szCs w:val="24"/>
                <w:lang w:val="hy-AM"/>
              </w:rPr>
            </w:pPr>
          </w:p>
        </w:tc>
      </w:tr>
      <w:tr w:rsidR="005D101C" w:rsidRPr="000F123F" w14:paraId="3B2C2D34" w14:textId="77777777" w:rsidTr="00F940A3">
        <w:tc>
          <w:tcPr>
            <w:tcW w:w="2718" w:type="dxa"/>
            <w:hideMark/>
          </w:tcPr>
          <w:p w14:paraId="13B233C7" w14:textId="77777777" w:rsidR="005D101C" w:rsidRPr="000F123F" w:rsidRDefault="005D101C" w:rsidP="00F940A3">
            <w:pPr>
              <w:spacing w:before="0" w:after="0" w:line="240" w:lineRule="auto"/>
              <w:ind w:firstLine="0"/>
              <w:jc w:val="left"/>
              <w:rPr>
                <w:b/>
                <w:color w:val="0070C0"/>
                <w:szCs w:val="24"/>
              </w:rPr>
            </w:pPr>
            <w:r w:rsidRPr="000F123F">
              <w:rPr>
                <w:b/>
                <w:color w:val="0070C0"/>
                <w:szCs w:val="24"/>
              </w:rPr>
              <w:lastRenderedPageBreak/>
              <w:t>Հաշվեքննության կատարման ժամկետը</w:t>
            </w:r>
          </w:p>
        </w:tc>
        <w:tc>
          <w:tcPr>
            <w:tcW w:w="6714" w:type="dxa"/>
            <w:hideMark/>
          </w:tcPr>
          <w:p w14:paraId="3679239F" w14:textId="77777777" w:rsidR="005D101C" w:rsidRPr="000F123F" w:rsidRDefault="00F940A3" w:rsidP="00F940A3">
            <w:pPr>
              <w:tabs>
                <w:tab w:val="left" w:pos="851"/>
              </w:tabs>
              <w:spacing w:after="0"/>
              <w:ind w:firstLine="0"/>
              <w:rPr>
                <w:rFonts w:eastAsia="Times New Roman"/>
                <w:szCs w:val="24"/>
                <w:lang w:val="hy-AM"/>
              </w:rPr>
            </w:pPr>
            <w:r w:rsidRPr="00F940A3">
              <w:rPr>
                <w:rFonts w:eastAsia="Times New Roman"/>
                <w:szCs w:val="24"/>
                <w:lang w:val="hy-AM"/>
              </w:rPr>
              <w:t>2024 թվականի հունվարի 29-ից</w:t>
            </w:r>
            <w:r>
              <w:rPr>
                <w:rFonts w:eastAsia="Times New Roman"/>
                <w:szCs w:val="24"/>
                <w:lang w:val="hy-AM"/>
              </w:rPr>
              <w:t xml:space="preserve"> մինչև 2024 թվականի ապրիլի 30-ը</w:t>
            </w:r>
            <w:r w:rsidR="005D101C" w:rsidRPr="000F123F">
              <w:rPr>
                <w:rFonts w:eastAsia="Times New Roman"/>
                <w:szCs w:val="24"/>
                <w:lang w:val="hy-AM"/>
              </w:rPr>
              <w:t>:</w:t>
            </w:r>
          </w:p>
          <w:p w14:paraId="60586BCB" w14:textId="77777777" w:rsidR="005D101C" w:rsidRPr="000F123F" w:rsidRDefault="005D101C" w:rsidP="00F940A3">
            <w:pPr>
              <w:tabs>
                <w:tab w:val="left" w:pos="851"/>
              </w:tabs>
              <w:spacing w:after="0" w:line="240" w:lineRule="auto"/>
              <w:ind w:firstLine="0"/>
              <w:rPr>
                <w:rFonts w:eastAsia="Times New Roman"/>
                <w:szCs w:val="24"/>
                <w:lang w:val="hy-AM"/>
              </w:rPr>
            </w:pPr>
          </w:p>
        </w:tc>
      </w:tr>
      <w:tr w:rsidR="005D101C" w:rsidRPr="00B54092" w14:paraId="09FC0A1E" w14:textId="77777777" w:rsidTr="00F940A3">
        <w:tc>
          <w:tcPr>
            <w:tcW w:w="2718" w:type="dxa"/>
          </w:tcPr>
          <w:p w14:paraId="28CEF14B" w14:textId="77777777" w:rsidR="005D101C" w:rsidRPr="000F123F" w:rsidRDefault="005D101C" w:rsidP="00F940A3">
            <w:pPr>
              <w:spacing w:before="0" w:after="0" w:line="240" w:lineRule="auto"/>
              <w:ind w:firstLine="0"/>
              <w:jc w:val="left"/>
              <w:rPr>
                <w:b/>
                <w:color w:val="0070C0"/>
                <w:szCs w:val="24"/>
                <w:lang w:val="ru-RU"/>
              </w:rPr>
            </w:pPr>
            <w:r w:rsidRPr="000F123F">
              <w:rPr>
                <w:b/>
                <w:color w:val="0070C0"/>
                <w:szCs w:val="24"/>
              </w:rPr>
              <w:t xml:space="preserve">Հաշվեքննության </w:t>
            </w:r>
            <w:r w:rsidRPr="000F123F">
              <w:rPr>
                <w:b/>
                <w:color w:val="0070C0"/>
                <w:szCs w:val="24"/>
                <w:lang w:val="hy-AM"/>
              </w:rPr>
              <w:t>մեթոդաբանությունը</w:t>
            </w:r>
          </w:p>
          <w:p w14:paraId="260B9613" w14:textId="77777777" w:rsidR="005D101C" w:rsidRPr="000F123F" w:rsidRDefault="005D101C" w:rsidP="00F940A3">
            <w:pPr>
              <w:spacing w:before="0" w:after="0" w:line="240" w:lineRule="auto"/>
              <w:ind w:firstLine="0"/>
              <w:jc w:val="left"/>
              <w:rPr>
                <w:b/>
                <w:color w:val="0070C0"/>
                <w:szCs w:val="24"/>
              </w:rPr>
            </w:pPr>
          </w:p>
        </w:tc>
        <w:tc>
          <w:tcPr>
            <w:tcW w:w="6714" w:type="dxa"/>
            <w:hideMark/>
          </w:tcPr>
          <w:p w14:paraId="258929DA" w14:textId="77777777" w:rsidR="005D101C" w:rsidRPr="000F123F" w:rsidRDefault="005D101C" w:rsidP="00F940A3">
            <w:pPr>
              <w:spacing w:before="0" w:after="0" w:line="240" w:lineRule="auto"/>
              <w:ind w:firstLine="0"/>
              <w:rPr>
                <w:color w:val="000000"/>
                <w:szCs w:val="24"/>
                <w:shd w:val="clear" w:color="auto" w:fill="FFFFFF"/>
                <w:lang w:val="hy-AM"/>
              </w:rPr>
            </w:pPr>
            <w:r w:rsidRPr="000F123F">
              <w:rPr>
                <w:color w:val="000000"/>
                <w:szCs w:val="24"/>
                <w:shd w:val="clear" w:color="auto" w:fill="FFFFFF"/>
                <w:lang w:val="hy-AM"/>
              </w:rPr>
              <w:t>Հաշվեքննությունն իրականացվել է «Հաշվեքննիչ պալատի մա</w:t>
            </w:r>
            <w:r w:rsidRPr="000F123F">
              <w:rPr>
                <w:color w:val="000000"/>
                <w:szCs w:val="24"/>
                <w:shd w:val="clear" w:color="auto" w:fill="FFFFFF"/>
                <w:lang w:val="hy-AM"/>
              </w:rPr>
              <w:softHyphen/>
              <w:t>սին» ՀՀ օրենքի, Հաշվեքննիչ պալատի ֆինանսական և համա</w:t>
            </w:r>
            <w:r w:rsidRPr="000F123F">
              <w:rPr>
                <w:color w:val="000000"/>
                <w:szCs w:val="24"/>
                <w:shd w:val="clear" w:color="auto" w:fill="FFFFFF"/>
                <w:lang w:val="hy-AM"/>
              </w:rPr>
              <w:softHyphen/>
              <w:t>պա</w:t>
            </w:r>
            <w:r w:rsidRPr="000F123F">
              <w:rPr>
                <w:color w:val="000000"/>
                <w:szCs w:val="24"/>
                <w:shd w:val="clear" w:color="auto" w:fill="FFFFFF"/>
                <w:lang w:val="hy-AM"/>
              </w:rPr>
              <w:softHyphen/>
              <w:t>տասխանության հաշվեքննության մեթոդաբանությունների, Պետական բյուջեի երեք, վեց, ինն ամիսների և տարեկան կատարման հաշվեքննության ուղեցույցի համա</w:t>
            </w:r>
            <w:r w:rsidRPr="000F123F">
              <w:rPr>
                <w:color w:val="000000"/>
                <w:szCs w:val="24"/>
                <w:shd w:val="clear" w:color="auto" w:fill="FFFFFF"/>
                <w:lang w:val="hy-AM"/>
              </w:rPr>
              <w:softHyphen/>
              <w:t xml:space="preserve">ձայն։ </w:t>
            </w:r>
          </w:p>
          <w:p w14:paraId="1A174699" w14:textId="6D91F9F2" w:rsidR="005D101C" w:rsidRPr="000F123F" w:rsidRDefault="005D101C" w:rsidP="00F940A3">
            <w:pPr>
              <w:tabs>
                <w:tab w:val="left" w:pos="450"/>
              </w:tabs>
              <w:spacing w:before="0" w:after="0"/>
              <w:ind w:firstLine="709"/>
              <w:rPr>
                <w:rFonts w:eastAsia="Times New Roman" w:cs="Sylfaen"/>
                <w:i/>
                <w:szCs w:val="24"/>
                <w:lang w:val="hy-AM"/>
              </w:rPr>
            </w:pPr>
            <w:r w:rsidRPr="000F123F">
              <w:rPr>
                <w:color w:val="000000"/>
                <w:szCs w:val="24"/>
                <w:shd w:val="clear" w:color="auto" w:fill="FFFFFF"/>
                <w:lang w:val="hy-AM"/>
              </w:rPr>
              <w:t xml:space="preserve">Իրականացվել </w:t>
            </w:r>
            <w:r w:rsidR="00B32822">
              <w:rPr>
                <w:color w:val="000000"/>
                <w:szCs w:val="24"/>
                <w:shd w:val="clear" w:color="auto" w:fill="FFFFFF"/>
                <w:lang w:val="hy-AM"/>
              </w:rPr>
              <w:t>են</w:t>
            </w:r>
            <w:r w:rsidR="00B32822" w:rsidRPr="000F123F">
              <w:rPr>
                <w:color w:val="000000"/>
                <w:szCs w:val="24"/>
                <w:shd w:val="clear" w:color="auto" w:fill="FFFFFF"/>
                <w:lang w:val="hy-AM"/>
              </w:rPr>
              <w:t xml:space="preserve"> </w:t>
            </w:r>
            <w:r w:rsidRPr="000F123F">
              <w:rPr>
                <w:color w:val="000000"/>
                <w:szCs w:val="24"/>
                <w:shd w:val="clear" w:color="auto" w:fill="FFFFFF"/>
                <w:lang w:val="hy-AM"/>
              </w:rPr>
              <w:t>ֆինանսական և համապատասխանութ</w:t>
            </w:r>
            <w:r w:rsidRPr="000F123F">
              <w:rPr>
                <w:color w:val="000000"/>
                <w:szCs w:val="24"/>
                <w:shd w:val="clear" w:color="auto" w:fill="FFFFFF"/>
                <w:lang w:val="hy-AM"/>
              </w:rPr>
              <w:softHyphen/>
              <w:t>յան հաշ</w:t>
            </w:r>
            <w:r w:rsidRPr="000F123F">
              <w:rPr>
                <w:color w:val="000000"/>
                <w:szCs w:val="24"/>
                <w:shd w:val="clear" w:color="auto" w:fill="FFFFFF"/>
                <w:lang w:val="hy-AM"/>
              </w:rPr>
              <w:softHyphen/>
              <w:t>վեքննություն, որի ընթացքում կիրառվել են զննում, դիտարկում, հարցում, վերլուծական ընթացակարգ, վերահաշվարկ և վերակատարում</w:t>
            </w:r>
            <w:r w:rsidR="00B32822">
              <w:rPr>
                <w:color w:val="000000"/>
                <w:szCs w:val="24"/>
                <w:shd w:val="clear" w:color="auto" w:fill="FFFFFF"/>
                <w:lang w:val="hy-AM"/>
              </w:rPr>
              <w:t xml:space="preserve"> ընթացակարգերը</w:t>
            </w:r>
            <w:r w:rsidRPr="000F123F">
              <w:rPr>
                <w:color w:val="000000"/>
                <w:szCs w:val="24"/>
                <w:shd w:val="clear" w:color="auto" w:fill="FFFFFF"/>
                <w:lang w:val="hy-AM"/>
              </w:rPr>
              <w:t>:</w:t>
            </w:r>
          </w:p>
        </w:tc>
      </w:tr>
      <w:tr w:rsidR="005D101C" w:rsidRPr="00B54092" w14:paraId="4D141C97" w14:textId="77777777" w:rsidTr="00F940A3">
        <w:tc>
          <w:tcPr>
            <w:tcW w:w="2718" w:type="dxa"/>
          </w:tcPr>
          <w:p w14:paraId="251CCCA9" w14:textId="77777777" w:rsidR="005D101C" w:rsidRPr="000F123F" w:rsidRDefault="005D101C" w:rsidP="00F940A3">
            <w:pPr>
              <w:spacing w:before="0" w:after="0" w:line="240" w:lineRule="auto"/>
              <w:ind w:firstLine="0"/>
              <w:jc w:val="left"/>
              <w:rPr>
                <w:b/>
                <w:color w:val="0070C0"/>
                <w:szCs w:val="24"/>
                <w:lang w:val="ru-RU"/>
              </w:rPr>
            </w:pPr>
            <w:r w:rsidRPr="000F123F">
              <w:rPr>
                <w:b/>
                <w:color w:val="0070C0"/>
                <w:szCs w:val="24"/>
              </w:rPr>
              <w:t>Հաշվեքննությունն իրականացրած կառուցվածքային ստորաբաժանում</w:t>
            </w:r>
          </w:p>
          <w:p w14:paraId="5CE425DE" w14:textId="77777777" w:rsidR="005D101C" w:rsidRPr="000F123F" w:rsidRDefault="005D101C" w:rsidP="00F940A3">
            <w:pPr>
              <w:spacing w:before="0" w:after="0" w:line="240" w:lineRule="auto"/>
              <w:ind w:firstLine="0"/>
              <w:jc w:val="left"/>
              <w:rPr>
                <w:b/>
                <w:color w:val="0070C0"/>
                <w:szCs w:val="24"/>
                <w:lang w:val="hy-AM"/>
              </w:rPr>
            </w:pPr>
          </w:p>
        </w:tc>
        <w:tc>
          <w:tcPr>
            <w:tcW w:w="6714" w:type="dxa"/>
          </w:tcPr>
          <w:p w14:paraId="378D9183" w14:textId="77777777" w:rsidR="005D101C" w:rsidRPr="000F123F" w:rsidRDefault="005D101C" w:rsidP="00F940A3">
            <w:pPr>
              <w:spacing w:before="0" w:after="0" w:line="240" w:lineRule="auto"/>
              <w:ind w:firstLine="0"/>
              <w:rPr>
                <w:szCs w:val="24"/>
                <w:lang w:val="hy-AM"/>
              </w:rPr>
            </w:pPr>
            <w:r w:rsidRPr="000F123F">
              <w:rPr>
                <w:szCs w:val="24"/>
                <w:lang w:val="hy-AM"/>
              </w:rPr>
              <w:t>Հաշվեքննությունն իրականացվել է Հաշվեքննիչ պալատի երկրորդ վարչության կողմից, որի աշխատանքները համակար</w:t>
            </w:r>
            <w:r w:rsidRPr="000F123F">
              <w:rPr>
                <w:szCs w:val="24"/>
                <w:lang w:val="hy-AM"/>
              </w:rPr>
              <w:softHyphen/>
              <w:t xml:space="preserve">գում է Հաշվեքննիչ պալատի անդամ Գեղամ Հովեյանը: </w:t>
            </w:r>
          </w:p>
        </w:tc>
      </w:tr>
      <w:tr w:rsidR="005D101C" w:rsidRPr="00B54092" w14:paraId="08B875B7" w14:textId="77777777" w:rsidTr="00F940A3">
        <w:tc>
          <w:tcPr>
            <w:tcW w:w="2718" w:type="dxa"/>
          </w:tcPr>
          <w:p w14:paraId="1799AA12" w14:textId="77777777" w:rsidR="005D101C" w:rsidRPr="000F123F" w:rsidRDefault="005D101C" w:rsidP="00F940A3">
            <w:pPr>
              <w:spacing w:before="0" w:after="0" w:line="240" w:lineRule="auto"/>
              <w:ind w:firstLine="0"/>
              <w:jc w:val="left"/>
              <w:rPr>
                <w:b/>
                <w:color w:val="0070C0"/>
                <w:szCs w:val="24"/>
                <w:lang w:val="hy-AM"/>
              </w:rPr>
            </w:pPr>
          </w:p>
        </w:tc>
        <w:tc>
          <w:tcPr>
            <w:tcW w:w="6714" w:type="dxa"/>
          </w:tcPr>
          <w:p w14:paraId="7D1E2683" w14:textId="77777777" w:rsidR="005D101C" w:rsidRPr="000F123F" w:rsidRDefault="005D101C" w:rsidP="00F940A3">
            <w:pPr>
              <w:spacing w:before="0" w:after="0" w:line="240" w:lineRule="auto"/>
              <w:ind w:firstLine="0"/>
              <w:rPr>
                <w:color w:val="000000"/>
                <w:szCs w:val="24"/>
                <w:shd w:val="clear" w:color="auto" w:fill="FFFFFF"/>
                <w:lang w:val="hy-AM"/>
              </w:rPr>
            </w:pPr>
          </w:p>
        </w:tc>
      </w:tr>
    </w:tbl>
    <w:p w14:paraId="2788A65A" w14:textId="77777777" w:rsidR="005D101C" w:rsidRPr="000F123F" w:rsidRDefault="005D101C" w:rsidP="005D101C">
      <w:pPr>
        <w:ind w:firstLine="0"/>
        <w:rPr>
          <w:lang w:val="hy-AM"/>
        </w:rPr>
      </w:pPr>
      <w:r w:rsidRPr="000F123F">
        <w:rPr>
          <w:lang w:val="hy-AM"/>
        </w:rPr>
        <w:br w:type="page"/>
      </w:r>
    </w:p>
    <w:p w14:paraId="40629F5D" w14:textId="77777777" w:rsidR="005D101C" w:rsidRPr="000F123F" w:rsidRDefault="005D101C" w:rsidP="005D101C">
      <w:pPr>
        <w:ind w:firstLine="0"/>
        <w:rPr>
          <w:lang w:val="hy-AM"/>
        </w:rPr>
      </w:pPr>
    </w:p>
    <w:p w14:paraId="2288965E" w14:textId="77777777" w:rsidR="005D101C" w:rsidRPr="000F123F" w:rsidRDefault="005D101C" w:rsidP="005D101C">
      <w:pPr>
        <w:numPr>
          <w:ilvl w:val="0"/>
          <w:numId w:val="1"/>
        </w:numPr>
        <w:spacing w:before="0" w:line="240" w:lineRule="auto"/>
        <w:ind w:left="0" w:firstLine="0"/>
        <w:jc w:val="center"/>
        <w:outlineLvl w:val="0"/>
        <w:rPr>
          <w:b/>
          <w:color w:val="0070C0"/>
          <w:sz w:val="28"/>
          <w:szCs w:val="28"/>
          <w:lang w:val="hy-AM"/>
        </w:rPr>
      </w:pPr>
      <w:bookmarkStart w:id="1" w:name="_Toc94005821"/>
      <w:bookmarkStart w:id="2" w:name="_Toc77941089"/>
      <w:bookmarkStart w:id="3" w:name="_Toc46780407"/>
      <w:bookmarkStart w:id="4" w:name="_Toc103093947"/>
      <w:bookmarkStart w:id="5" w:name="_Toc132811273"/>
      <w:bookmarkStart w:id="6" w:name="_Toc164676862"/>
      <w:r w:rsidRPr="000F123F">
        <w:rPr>
          <w:b/>
          <w:color w:val="0070C0"/>
          <w:sz w:val="28"/>
          <w:szCs w:val="28"/>
          <w:lang w:val="hy-AM"/>
        </w:rPr>
        <w:t>ԱՄՓՈՓԱԳԻՐ</w:t>
      </w:r>
      <w:bookmarkEnd w:id="1"/>
      <w:bookmarkEnd w:id="2"/>
      <w:bookmarkEnd w:id="3"/>
      <w:bookmarkEnd w:id="4"/>
      <w:bookmarkEnd w:id="5"/>
      <w:bookmarkEnd w:id="6"/>
    </w:p>
    <w:p w14:paraId="6CFD56FB" w14:textId="77777777" w:rsidR="00BA769F" w:rsidRDefault="005D101C" w:rsidP="00BA769F">
      <w:pPr>
        <w:rPr>
          <w:szCs w:val="24"/>
          <w:lang w:val="hy-AM"/>
        </w:rPr>
      </w:pPr>
      <w:bookmarkStart w:id="7" w:name="_Toc94005822"/>
      <w:bookmarkStart w:id="8" w:name="_Toc103093949"/>
      <w:bookmarkStart w:id="9" w:name="_Toc46780408"/>
      <w:bookmarkStart w:id="10" w:name="_Toc77941090"/>
      <w:r w:rsidRPr="002E74C6">
        <w:rPr>
          <w:szCs w:val="24"/>
          <w:lang w:val="hy-AM"/>
        </w:rPr>
        <w:t>Հաշվեքննությամբ պարզվել է, որ</w:t>
      </w:r>
      <w:r w:rsidR="00FB3379" w:rsidRPr="002E74C6">
        <w:rPr>
          <w:szCs w:val="24"/>
          <w:lang w:val="hy-AM"/>
        </w:rPr>
        <w:t xml:space="preserve"> ՊԵԿ-ում</w:t>
      </w:r>
      <w:r w:rsidRPr="002E74C6">
        <w:rPr>
          <w:szCs w:val="24"/>
          <w:lang w:val="hy-AM"/>
        </w:rPr>
        <w:t xml:space="preserve"> </w:t>
      </w:r>
      <w:r w:rsidR="00FB3379" w:rsidRPr="002E74C6">
        <w:rPr>
          <w:szCs w:val="24"/>
          <w:lang w:val="hy-AM"/>
        </w:rPr>
        <w:t xml:space="preserve"> պետական բյուջեի </w:t>
      </w:r>
      <w:r w:rsidRPr="002E74C6">
        <w:rPr>
          <w:szCs w:val="24"/>
          <w:lang w:val="hy-AM"/>
        </w:rPr>
        <w:t>2022 թվականի տարեկան և 2023 թվականի</w:t>
      </w:r>
      <w:r w:rsidR="00FB3379" w:rsidRPr="002E74C6">
        <w:rPr>
          <w:szCs w:val="24"/>
          <w:lang w:val="hy-AM"/>
        </w:rPr>
        <w:t xml:space="preserve"> </w:t>
      </w:r>
      <w:r w:rsidRPr="002E74C6">
        <w:rPr>
          <w:szCs w:val="24"/>
          <w:lang w:val="hy-AM"/>
        </w:rPr>
        <w:t xml:space="preserve"> </w:t>
      </w:r>
      <w:r w:rsidR="00FB3379" w:rsidRPr="002E74C6">
        <w:rPr>
          <w:szCs w:val="24"/>
          <w:lang w:val="hy-AM"/>
        </w:rPr>
        <w:t>երեք, վեց, ինն ամիսների</w:t>
      </w:r>
      <w:r w:rsidRPr="002E74C6">
        <w:rPr>
          <w:szCs w:val="24"/>
          <w:lang w:val="hy-AM"/>
        </w:rPr>
        <w:t xml:space="preserve"> հաշվեքննությունների արդյունքում արձանագրված </w:t>
      </w:r>
      <w:r w:rsidR="00BA769F" w:rsidRPr="00BA769F">
        <w:rPr>
          <w:szCs w:val="24"/>
          <w:lang w:val="hy-AM"/>
        </w:rPr>
        <w:t xml:space="preserve">առանձին </w:t>
      </w:r>
      <w:r w:rsidRPr="002E74C6">
        <w:rPr>
          <w:szCs w:val="24"/>
          <w:lang w:val="hy-AM"/>
        </w:rPr>
        <w:t xml:space="preserve">անհամապատասխանությունների </w:t>
      </w:r>
      <w:r w:rsidR="00BA769F" w:rsidRPr="00BA769F">
        <w:rPr>
          <w:szCs w:val="24"/>
          <w:lang w:val="hy-AM"/>
        </w:rPr>
        <w:t>վերացման</w:t>
      </w:r>
      <w:r w:rsidRPr="002E74C6">
        <w:rPr>
          <w:szCs w:val="24"/>
          <w:lang w:val="hy-AM"/>
        </w:rPr>
        <w:t xml:space="preserve"> ուղղությամբ Հաշվեքննիչ պալատի առաջարկները ՊԵԿ-ի կողմից չիրականացնելու պատճառով, </w:t>
      </w:r>
      <w:r w:rsidR="00BA769F" w:rsidRPr="00BA769F">
        <w:rPr>
          <w:szCs w:val="24"/>
          <w:lang w:val="hy-AM"/>
        </w:rPr>
        <w:t xml:space="preserve">ստորև ներկայացվող առանձին </w:t>
      </w:r>
      <w:r w:rsidR="00BA769F">
        <w:rPr>
          <w:szCs w:val="24"/>
          <w:lang w:val="hy-AM"/>
        </w:rPr>
        <w:t>անհամապատասխանություններ</w:t>
      </w:r>
      <w:r w:rsidRPr="002E74C6">
        <w:rPr>
          <w:szCs w:val="24"/>
          <w:lang w:val="hy-AM"/>
        </w:rPr>
        <w:t xml:space="preserve"> կրկնվել են նաև հաշվեքննությունն ընդգրկող ժամանակաշրջանում։ </w:t>
      </w:r>
    </w:p>
    <w:p w14:paraId="4DFEDC49" w14:textId="77777777" w:rsidR="00BA769F" w:rsidRPr="00BA769F" w:rsidRDefault="005D101C" w:rsidP="00BA769F">
      <w:pPr>
        <w:rPr>
          <w:szCs w:val="24"/>
          <w:lang w:val="hy-AM"/>
        </w:rPr>
      </w:pPr>
      <w:r w:rsidRPr="002E74C6">
        <w:rPr>
          <w:szCs w:val="24"/>
          <w:lang w:val="hy-AM"/>
        </w:rPr>
        <w:t>Մասնավորապես</w:t>
      </w:r>
      <w:r w:rsidR="00BA769F">
        <w:rPr>
          <w:szCs w:val="24"/>
          <w:lang w:val="hy-AM"/>
        </w:rPr>
        <w:t>.</w:t>
      </w:r>
    </w:p>
    <w:p w14:paraId="4555B529" w14:textId="77777777" w:rsidR="00BA769F" w:rsidRPr="00DC76D9" w:rsidRDefault="005D101C" w:rsidP="00BA769F">
      <w:pPr>
        <w:pStyle w:val="ListParagraph"/>
        <w:numPr>
          <w:ilvl w:val="0"/>
          <w:numId w:val="5"/>
        </w:numPr>
        <w:spacing w:line="276" w:lineRule="auto"/>
        <w:ind w:left="0" w:firstLine="0"/>
        <w:rPr>
          <w:sz w:val="24"/>
          <w:szCs w:val="24"/>
          <w:lang w:val="hy-AM"/>
        </w:rPr>
      </w:pPr>
      <w:r w:rsidRPr="002E74C6">
        <w:rPr>
          <w:szCs w:val="24"/>
          <w:lang w:val="hy-AM"/>
        </w:rPr>
        <w:t xml:space="preserve"> </w:t>
      </w:r>
      <w:r w:rsidR="00BA769F" w:rsidRPr="003564E2">
        <w:rPr>
          <w:sz w:val="24"/>
          <w:szCs w:val="24"/>
          <w:lang w:val="hy-AM"/>
        </w:rPr>
        <w:t xml:space="preserve">Չի իրականացվում գիշերային աշխատանքի համար օրենսդրությամբ սահմանված կարգով և չափերով՝ առանձին կատեգորիայի աշխատողներին հավելումների  </w:t>
      </w:r>
      <w:r w:rsidR="00BA769F" w:rsidRPr="00DC76D9">
        <w:rPr>
          <w:sz w:val="24"/>
          <w:szCs w:val="24"/>
          <w:lang w:val="hy-AM"/>
        </w:rPr>
        <w:t xml:space="preserve">հաշվարկումն ու  վճարումը: </w:t>
      </w:r>
    </w:p>
    <w:p w14:paraId="0413BB2B" w14:textId="77777777" w:rsidR="00BA769F" w:rsidRDefault="00BA769F" w:rsidP="00BA769F">
      <w:pPr>
        <w:pStyle w:val="ListParagraph"/>
        <w:numPr>
          <w:ilvl w:val="0"/>
          <w:numId w:val="5"/>
        </w:numPr>
        <w:spacing w:line="276" w:lineRule="auto"/>
        <w:ind w:left="0" w:firstLine="0"/>
        <w:rPr>
          <w:sz w:val="24"/>
          <w:szCs w:val="24"/>
          <w:lang w:val="hy-AM"/>
        </w:rPr>
      </w:pPr>
      <w:r w:rsidRPr="00DC76D9">
        <w:rPr>
          <w:sz w:val="24"/>
          <w:szCs w:val="24"/>
          <w:lang w:val="hy-AM"/>
        </w:rPr>
        <w:t xml:space="preserve">Չեն պահպանվում շահագործվող ավտոմեքենաների հեղուկ վառելիքի գծով ծախսը ճանաչելու և ձևակերպելու օրենսդրությամբ սահմանված պահանջները,  դրանով իսկ չապահովելով հաշվետվական ցուցանիշների արժանահավատությունը։ </w:t>
      </w:r>
    </w:p>
    <w:p w14:paraId="040008DD" w14:textId="7C8BF1A5" w:rsidR="00BA769F" w:rsidRPr="002E74C6" w:rsidRDefault="00BA769F" w:rsidP="00BA769F">
      <w:pPr>
        <w:rPr>
          <w:szCs w:val="24"/>
          <w:lang w:val="hy-AM"/>
        </w:rPr>
      </w:pPr>
      <w:r w:rsidRPr="00BA769F">
        <w:rPr>
          <w:szCs w:val="24"/>
          <w:lang w:val="hy-AM"/>
        </w:rPr>
        <w:t xml:space="preserve">Նշված </w:t>
      </w:r>
      <w:r w:rsidR="005D101C" w:rsidRPr="002E74C6">
        <w:rPr>
          <w:szCs w:val="24"/>
          <w:lang w:val="hy-AM"/>
        </w:rPr>
        <w:t xml:space="preserve">անհամապատասխանությունների նկարագրությունը, </w:t>
      </w:r>
      <w:r w:rsidR="005D101C" w:rsidRPr="00BA769F">
        <w:rPr>
          <w:szCs w:val="24"/>
          <w:lang w:val="hy-AM"/>
        </w:rPr>
        <w:t>ՊԵԿ-ի արձագանքը և հաշվեքննողների մեկնաբանությունները</w:t>
      </w:r>
      <w:r w:rsidR="005D101C" w:rsidRPr="002E74C6">
        <w:rPr>
          <w:szCs w:val="24"/>
          <w:lang w:val="hy-AM"/>
        </w:rPr>
        <w:t xml:space="preserve"> ներկայացված են սույն </w:t>
      </w:r>
      <w:r w:rsidR="00B32822">
        <w:rPr>
          <w:szCs w:val="24"/>
          <w:lang w:val="hy-AM"/>
        </w:rPr>
        <w:t>եզրակացության</w:t>
      </w:r>
      <w:r w:rsidR="00B32822" w:rsidRPr="002E74C6">
        <w:rPr>
          <w:szCs w:val="24"/>
          <w:lang w:val="hy-AM"/>
        </w:rPr>
        <w:t xml:space="preserve"> </w:t>
      </w:r>
      <w:r w:rsidR="005D101C" w:rsidRPr="002E74C6">
        <w:rPr>
          <w:szCs w:val="24"/>
          <w:lang w:val="hy-AM"/>
        </w:rPr>
        <w:t>IV բաժնում:</w:t>
      </w:r>
    </w:p>
    <w:p w14:paraId="1060A828" w14:textId="4D5EDC15" w:rsidR="00DC76D9" w:rsidRPr="002E74C6" w:rsidRDefault="00BA769F" w:rsidP="00BA769F">
      <w:pPr>
        <w:pStyle w:val="ListParagraph"/>
        <w:spacing w:line="276" w:lineRule="auto"/>
        <w:ind w:left="0" w:firstLine="708"/>
        <w:rPr>
          <w:sz w:val="24"/>
          <w:szCs w:val="24"/>
          <w:lang w:val="hy-AM"/>
        </w:rPr>
      </w:pPr>
      <w:r w:rsidRPr="00BA769F">
        <w:rPr>
          <w:sz w:val="24"/>
          <w:szCs w:val="24"/>
          <w:lang w:val="hy-AM"/>
        </w:rPr>
        <w:t>Ա</w:t>
      </w:r>
      <w:r>
        <w:rPr>
          <w:sz w:val="24"/>
          <w:szCs w:val="24"/>
          <w:lang w:val="hy-AM"/>
        </w:rPr>
        <w:t>րձանագրվ</w:t>
      </w:r>
      <w:r w:rsidRPr="00BA769F">
        <w:rPr>
          <w:sz w:val="24"/>
          <w:szCs w:val="24"/>
          <w:lang w:val="hy-AM"/>
        </w:rPr>
        <w:t>ել է նաև, որ</w:t>
      </w:r>
      <w:r w:rsidRPr="002E74C6">
        <w:rPr>
          <w:sz w:val="24"/>
          <w:szCs w:val="24"/>
          <w:lang w:val="hy-AM"/>
        </w:rPr>
        <w:t xml:space="preserve"> </w:t>
      </w:r>
      <w:r>
        <w:rPr>
          <w:sz w:val="24"/>
          <w:szCs w:val="24"/>
          <w:lang w:val="hy-AM"/>
        </w:rPr>
        <w:t>հ</w:t>
      </w:r>
      <w:r w:rsidR="00DC76D9" w:rsidRPr="002E74C6">
        <w:rPr>
          <w:sz w:val="24"/>
          <w:szCs w:val="24"/>
          <w:lang w:val="hy-AM"/>
        </w:rPr>
        <w:t>աշվեքննությունն ընդգրկող ժամանակաշրջանի ավարտի օրվա դրությամբ</w:t>
      </w:r>
      <w:r>
        <w:rPr>
          <w:sz w:val="24"/>
          <w:szCs w:val="24"/>
          <w:lang w:val="hy-AM"/>
        </w:rPr>
        <w:t xml:space="preserve"> </w:t>
      </w:r>
      <w:r w:rsidR="00DC76D9" w:rsidRPr="002E74C6">
        <w:rPr>
          <w:sz w:val="24"/>
          <w:szCs w:val="24"/>
          <w:lang w:val="hy-AM"/>
        </w:rPr>
        <w:t>չի ապահովել ամբողջական անցումը հաշվապահական հաշվառման նոր համակարգին։ Ըստ այդմ  հաշվեքննության օբյեկտի կողմից վերահսկվող՝   պետությանը պատկանող  ակտիվների և պարտավորությունների</w:t>
      </w:r>
      <w:r w:rsidR="00DC76D9" w:rsidRPr="002E74C6">
        <w:rPr>
          <w:rFonts w:cs="Sylfaen"/>
          <w:sz w:val="24"/>
          <w:szCs w:val="24"/>
          <w:lang w:val="hy-AM"/>
        </w:rPr>
        <w:t xml:space="preserve"> </w:t>
      </w:r>
      <w:r w:rsidR="00B54092" w:rsidRPr="00B54092">
        <w:rPr>
          <w:rFonts w:cs="Sylfaen"/>
          <w:sz w:val="24"/>
          <w:szCs w:val="24"/>
          <w:lang w:val="hy-AM"/>
        </w:rPr>
        <w:t xml:space="preserve">ամբողջական </w:t>
      </w:r>
      <w:r w:rsidR="00DC76D9" w:rsidRPr="002E74C6">
        <w:rPr>
          <w:rFonts w:cs="Sylfaen"/>
          <w:sz w:val="24"/>
          <w:szCs w:val="24"/>
          <w:lang w:val="hy-AM"/>
        </w:rPr>
        <w:t>հաշվապահական հաշվառում չի վարվում։</w:t>
      </w:r>
      <w:r w:rsidR="00DC76D9" w:rsidRPr="002E74C6">
        <w:rPr>
          <w:rFonts w:cs="Sylfaen"/>
          <w:b/>
          <w:i/>
          <w:sz w:val="24"/>
          <w:szCs w:val="24"/>
          <w:lang w:val="hy-AM"/>
        </w:rPr>
        <w:t xml:space="preserve"> </w:t>
      </w:r>
      <w:r w:rsidR="00DC76D9" w:rsidRPr="002E74C6">
        <w:rPr>
          <w:sz w:val="24"/>
          <w:szCs w:val="24"/>
          <w:lang w:val="hy-AM"/>
        </w:rPr>
        <w:t>Մասնավորապես, ՀՀՀՀՀՀՍ-ի պահանջներին և հաշվային պլանին համապատասխան հաշվապահական հաշվառման բացակայությամբ պայմանավորված</w:t>
      </w:r>
      <w:r w:rsidR="00B54092">
        <w:rPr>
          <w:sz w:val="24"/>
          <w:szCs w:val="24"/>
          <w:lang w:val="hy-AM"/>
        </w:rPr>
        <w:t xml:space="preserve"> </w:t>
      </w:r>
      <w:r w:rsidR="00DC76D9" w:rsidRPr="002E74C6">
        <w:rPr>
          <w:sz w:val="24"/>
          <w:szCs w:val="24"/>
          <w:lang w:val="hy-AM"/>
        </w:rPr>
        <w:t>հաշվեքննությունն ընդգրկող ժամանակաշրջանի ֆինանսական հաշվետվություններում  արտացոլված չէ</w:t>
      </w:r>
      <w:r w:rsidR="00B54092">
        <w:rPr>
          <w:rFonts w:eastAsiaTheme="minorHAnsi" w:cs="Calibri"/>
          <w:sz w:val="24"/>
          <w:szCs w:val="24"/>
          <w:lang w:val="hy-AM"/>
        </w:rPr>
        <w:t xml:space="preserve"> </w:t>
      </w:r>
      <w:r w:rsidR="00DC76D9" w:rsidRPr="002E74C6">
        <w:rPr>
          <w:rFonts w:eastAsiaTheme="minorHAnsi" w:cs="Calibri"/>
          <w:sz w:val="24"/>
          <w:szCs w:val="24"/>
          <w:lang w:val="hy-AM"/>
        </w:rPr>
        <w:t>ՊԵԿ-ի կողմից վերահսկվող ՀՀ պետական բյուջեի եկամուտների</w:t>
      </w:r>
      <w:r w:rsidR="00DC76D9" w:rsidRPr="002E74C6">
        <w:rPr>
          <w:sz w:val="24"/>
          <w:szCs w:val="24"/>
          <w:lang w:val="hy-AM"/>
        </w:rPr>
        <w:t xml:space="preserve">  վերաբերյալ  տեղ</w:t>
      </w:r>
      <w:r w:rsidR="00B54092" w:rsidRPr="00B54092">
        <w:rPr>
          <w:sz w:val="24"/>
          <w:szCs w:val="24"/>
          <w:lang w:val="hy-AM"/>
        </w:rPr>
        <w:t>ե</w:t>
      </w:r>
      <w:r w:rsidR="00DC76D9" w:rsidRPr="002E74C6">
        <w:rPr>
          <w:sz w:val="24"/>
          <w:szCs w:val="24"/>
          <w:lang w:val="hy-AM"/>
        </w:rPr>
        <w:t xml:space="preserve">կատվությունը։ </w:t>
      </w:r>
    </w:p>
    <w:p w14:paraId="671FBDE7" w14:textId="77777777" w:rsidR="00DC76D9" w:rsidRPr="00F940A3" w:rsidRDefault="00DC76D9" w:rsidP="00DC76D9">
      <w:pPr>
        <w:pStyle w:val="ListParagraph"/>
        <w:spacing w:line="276" w:lineRule="auto"/>
        <w:ind w:left="0"/>
        <w:rPr>
          <w:szCs w:val="24"/>
          <w:highlight w:val="yellow"/>
          <w:lang w:val="hy-AM"/>
        </w:rPr>
      </w:pPr>
    </w:p>
    <w:p w14:paraId="29F03A73" w14:textId="77777777" w:rsidR="001830F5" w:rsidRDefault="005D101C" w:rsidP="001830F5">
      <w:pPr>
        <w:pStyle w:val="ListParagraph"/>
        <w:spacing w:line="276" w:lineRule="auto"/>
        <w:ind w:left="0"/>
        <w:rPr>
          <w:rFonts w:eastAsia="SimSun"/>
          <w:b/>
          <w:color w:val="0070C0"/>
          <w:sz w:val="28"/>
          <w:szCs w:val="28"/>
          <w:lang w:val="hy-AM"/>
        </w:rPr>
      </w:pPr>
      <w:r w:rsidRPr="003E53FE">
        <w:rPr>
          <w:rFonts w:eastAsia="SimSun"/>
          <w:b/>
          <w:color w:val="0070C0"/>
          <w:sz w:val="28"/>
          <w:szCs w:val="28"/>
          <w:lang w:val="hy-AM"/>
        </w:rPr>
        <w:t xml:space="preserve">          </w:t>
      </w:r>
    </w:p>
    <w:p w14:paraId="71DC94C2" w14:textId="595ACAD0" w:rsidR="005D101C" w:rsidRPr="003E53FE" w:rsidRDefault="001830F5" w:rsidP="00C452FD">
      <w:pPr>
        <w:numPr>
          <w:ilvl w:val="0"/>
          <w:numId w:val="1"/>
        </w:numPr>
        <w:spacing w:before="0" w:line="240" w:lineRule="auto"/>
        <w:ind w:left="0" w:firstLine="0"/>
        <w:jc w:val="center"/>
        <w:outlineLvl w:val="0"/>
        <w:rPr>
          <w:b/>
          <w:color w:val="0070C0"/>
          <w:sz w:val="28"/>
          <w:szCs w:val="28"/>
          <w:lang w:val="hy-AM"/>
        </w:rPr>
      </w:pPr>
      <w:r>
        <w:rPr>
          <w:b/>
          <w:color w:val="0070C0"/>
          <w:sz w:val="28"/>
          <w:szCs w:val="28"/>
          <w:lang w:val="hy-AM"/>
        </w:rPr>
        <w:br w:type="page"/>
      </w:r>
      <w:r w:rsidR="005D101C" w:rsidRPr="003E53FE">
        <w:rPr>
          <w:b/>
          <w:color w:val="0070C0"/>
          <w:sz w:val="28"/>
          <w:szCs w:val="28"/>
          <w:lang w:val="hy-AM"/>
        </w:rPr>
        <w:lastRenderedPageBreak/>
        <w:t xml:space="preserve">        </w:t>
      </w:r>
      <w:bookmarkStart w:id="11" w:name="_Toc164676863"/>
      <w:r w:rsidR="005D101C" w:rsidRPr="003E53FE">
        <w:rPr>
          <w:b/>
          <w:color w:val="0070C0"/>
          <w:sz w:val="28"/>
          <w:szCs w:val="28"/>
          <w:lang w:val="hy-AM"/>
        </w:rPr>
        <w:t>ՀԱՇՎԵՔՆՆՈՒԹՅԱՆ ՀԻՄՆԱԿԱՆ ԱՐԴՅՈՒՆՔՆԵՐ</w:t>
      </w:r>
      <w:bookmarkEnd w:id="11"/>
    </w:p>
    <w:p w14:paraId="3643B82F" w14:textId="77777777" w:rsidR="004374B8" w:rsidRDefault="004374B8" w:rsidP="00525787">
      <w:pPr>
        <w:spacing w:before="0" w:after="0"/>
        <w:ind w:firstLine="720"/>
        <w:rPr>
          <w:rFonts w:cs="Calibri"/>
          <w:b/>
          <w:i/>
          <w:lang w:val="hy-AM" w:eastAsia="ru-RU"/>
        </w:rPr>
      </w:pPr>
    </w:p>
    <w:p w14:paraId="5EFDB784" w14:textId="77777777" w:rsidR="002E74C6" w:rsidRPr="004624A6" w:rsidRDefault="002E74C6" w:rsidP="00525787">
      <w:pPr>
        <w:spacing w:before="0" w:after="0"/>
        <w:ind w:firstLine="720"/>
        <w:rPr>
          <w:rFonts w:cs="Calibri"/>
          <w:b/>
          <w:i/>
          <w:lang w:val="hy-AM" w:eastAsia="ru-RU"/>
        </w:rPr>
      </w:pPr>
      <w:r w:rsidRPr="00170D4B">
        <w:rPr>
          <w:rFonts w:cs="Calibri"/>
          <w:b/>
          <w:i/>
          <w:lang w:val="hy-AM" w:eastAsia="ru-RU"/>
        </w:rPr>
        <w:t>«Հարկային և մաքսային ծառայություններ</w:t>
      </w:r>
      <w:r>
        <w:rPr>
          <w:rFonts w:cs="Calibri"/>
          <w:b/>
          <w:i/>
          <w:lang w:val="hy-AM" w:eastAsia="ru-RU"/>
        </w:rPr>
        <w:t>»`</w:t>
      </w:r>
      <w:r w:rsidRPr="00170D4B">
        <w:rPr>
          <w:rFonts w:cs="Calibri"/>
          <w:b/>
          <w:i/>
          <w:lang w:val="hy-AM" w:eastAsia="ru-RU"/>
        </w:rPr>
        <w:t xml:space="preserve"> </w:t>
      </w:r>
      <w:r w:rsidR="00525787" w:rsidRPr="00170D4B">
        <w:rPr>
          <w:rFonts w:cs="Calibri"/>
          <w:b/>
          <w:i/>
          <w:lang w:val="hy-AM" w:eastAsia="ru-RU"/>
        </w:rPr>
        <w:t xml:space="preserve">1023-11001 միջոցառման 411100 «Աշխատողների աշխատավարձեր և հավելավճարներ», 411200 «Պարգևատրումներ, դրամական խրախուսումներ և հատուկ վճարներ», 411300 «Քաղաքացիական, դատական և պետական այլ ծառայողների պարգևատրում» տնտեսագիտական դասակարգման </w:t>
      </w:r>
      <w:r w:rsidR="00525787">
        <w:rPr>
          <w:rFonts w:cs="Calibri"/>
          <w:b/>
          <w:i/>
          <w:lang w:val="hy-AM" w:eastAsia="ru-RU"/>
        </w:rPr>
        <w:t>հոդվածներով</w:t>
      </w:r>
      <w:r w:rsidR="00BA769F" w:rsidRPr="00BA769F">
        <w:rPr>
          <w:rFonts w:cs="Calibri"/>
          <w:b/>
          <w:i/>
          <w:lang w:val="hy-AM" w:eastAsia="ru-RU"/>
        </w:rPr>
        <w:t xml:space="preserve"> կատարված ծախսերի մասով</w:t>
      </w:r>
      <w:r w:rsidR="00525787">
        <w:rPr>
          <w:rFonts w:cs="Calibri"/>
          <w:b/>
          <w:i/>
          <w:lang w:val="hy-AM" w:eastAsia="ru-RU"/>
        </w:rPr>
        <w:t xml:space="preserve"> </w:t>
      </w:r>
      <w:r w:rsidR="00525787" w:rsidRPr="00170D4B">
        <w:rPr>
          <w:rFonts w:cs="Calibri"/>
          <w:b/>
          <w:i/>
          <w:lang w:val="hy-AM" w:eastAsia="ru-RU"/>
        </w:rPr>
        <w:t>առկա է հաշվեքննության</w:t>
      </w:r>
      <w:r w:rsidR="00BA769F" w:rsidRPr="00BA769F">
        <w:rPr>
          <w:rFonts w:cs="Calibri"/>
          <w:b/>
          <w:i/>
          <w:lang w:val="hy-AM" w:eastAsia="ru-RU"/>
        </w:rPr>
        <w:t>ն</w:t>
      </w:r>
      <w:r w:rsidR="00525787" w:rsidRPr="00170D4B">
        <w:rPr>
          <w:rFonts w:cs="Calibri"/>
          <w:b/>
          <w:i/>
          <w:lang w:val="hy-AM" w:eastAsia="ru-RU"/>
        </w:rPr>
        <w:t xml:space="preserve"> անհրաժեշտ տեղեկատվության ստացման էական սահմանափակում</w:t>
      </w:r>
      <w:r w:rsidR="00BA769F" w:rsidRPr="00BA769F">
        <w:rPr>
          <w:rFonts w:cs="Calibri"/>
          <w:b/>
          <w:i/>
          <w:lang w:val="hy-AM" w:eastAsia="ru-RU"/>
        </w:rPr>
        <w:t xml:space="preserve">: Արդյունքում </w:t>
      </w:r>
      <w:r w:rsidR="004624A6" w:rsidRPr="004624A6">
        <w:rPr>
          <w:rFonts w:cs="Calibri"/>
          <w:b/>
          <w:i/>
          <w:lang w:val="hy-AM" w:eastAsia="ru-RU"/>
        </w:rPr>
        <w:t xml:space="preserve">հաշվեքննությամբ չի պարզվել </w:t>
      </w:r>
      <w:r w:rsidR="00BA769F" w:rsidRPr="00BA769F">
        <w:rPr>
          <w:rFonts w:cs="Calibri"/>
          <w:b/>
          <w:i/>
          <w:lang w:val="hy-AM" w:eastAsia="ru-RU"/>
        </w:rPr>
        <w:t xml:space="preserve">նշված </w:t>
      </w:r>
      <w:r w:rsidR="004624A6" w:rsidRPr="00170D4B">
        <w:rPr>
          <w:rFonts w:cs="Calibri"/>
          <w:b/>
          <w:i/>
          <w:lang w:val="hy-AM" w:eastAsia="ru-RU"/>
        </w:rPr>
        <w:t>տնտեսագիտական դասակարգման</w:t>
      </w:r>
      <w:r w:rsidR="004624A6" w:rsidRPr="00BA769F">
        <w:rPr>
          <w:rFonts w:cs="Calibri"/>
          <w:b/>
          <w:i/>
          <w:lang w:val="hy-AM" w:eastAsia="ru-RU"/>
        </w:rPr>
        <w:t xml:space="preserve"> </w:t>
      </w:r>
      <w:r w:rsidR="00BA769F" w:rsidRPr="00BA769F">
        <w:rPr>
          <w:rFonts w:cs="Calibri"/>
          <w:b/>
          <w:i/>
          <w:lang w:val="hy-AM" w:eastAsia="ru-RU"/>
        </w:rPr>
        <w:t>հոդվածներով կատարված</w:t>
      </w:r>
      <w:r w:rsidR="004624A6">
        <w:rPr>
          <w:rFonts w:cs="Calibri"/>
          <w:b/>
          <w:i/>
          <w:lang w:val="hy-AM" w:eastAsia="ru-RU"/>
        </w:rPr>
        <w:t xml:space="preserve"> </w:t>
      </w:r>
      <w:r w:rsidR="00BA769F" w:rsidRPr="004624A6">
        <w:rPr>
          <w:rFonts w:cs="Calibri"/>
          <w:b/>
          <w:i/>
          <w:lang w:val="hy-AM" w:eastAsia="ru-RU"/>
        </w:rPr>
        <w:t>17,898,289.30 հազ.դրամ  ծախսի</w:t>
      </w:r>
      <w:r w:rsidR="004624A6" w:rsidRPr="004624A6">
        <w:rPr>
          <w:rFonts w:cs="Calibri"/>
          <w:b/>
          <w:i/>
          <w:lang w:val="hy-AM" w:eastAsia="ru-RU"/>
        </w:rPr>
        <w:t xml:space="preserve"> </w:t>
      </w:r>
      <w:r w:rsidR="00BA769F" w:rsidRPr="004624A6">
        <w:rPr>
          <w:rFonts w:cs="Calibri"/>
          <w:b/>
          <w:i/>
          <w:lang w:val="hy-AM" w:eastAsia="ru-RU"/>
        </w:rPr>
        <w:t xml:space="preserve"> </w:t>
      </w:r>
      <w:r w:rsidR="004624A6">
        <w:rPr>
          <w:rFonts w:cs="Calibri"/>
          <w:b/>
          <w:i/>
          <w:lang w:val="hy-AM" w:eastAsia="ru-RU"/>
        </w:rPr>
        <w:t>օրինականությու</w:t>
      </w:r>
      <w:r w:rsidR="004624A6" w:rsidRPr="004624A6">
        <w:rPr>
          <w:rFonts w:cs="Calibri"/>
          <w:b/>
          <w:i/>
          <w:lang w:val="hy-AM" w:eastAsia="ru-RU"/>
        </w:rPr>
        <w:t>նը:</w:t>
      </w:r>
    </w:p>
    <w:p w14:paraId="467637FE" w14:textId="77777777" w:rsidR="00525787" w:rsidRPr="00170D4B" w:rsidRDefault="00525787" w:rsidP="00525787">
      <w:pPr>
        <w:spacing w:before="0" w:after="0"/>
        <w:ind w:firstLine="720"/>
        <w:rPr>
          <w:rFonts w:cs="Calibri"/>
          <w:lang w:val="hy-AM" w:eastAsia="ru-RU"/>
        </w:rPr>
      </w:pPr>
      <w:r w:rsidRPr="00564CAB">
        <w:rPr>
          <w:rFonts w:cs="Sylfaen"/>
          <w:color w:val="000000"/>
          <w:szCs w:val="24"/>
          <w:lang w:val="hy-AM"/>
        </w:rPr>
        <w:t xml:space="preserve">ՊԵԿ աշխատողների աշխատանքի վարձատրության վերաբերյալ տեղեկատվությունը, ըստ առանձին աշխատողների, </w:t>
      </w:r>
      <w:r w:rsidR="00B01119" w:rsidRPr="00B01119">
        <w:rPr>
          <w:rFonts w:cs="Sylfaen"/>
          <w:color w:val="000000"/>
          <w:szCs w:val="24"/>
          <w:lang w:val="hy-AM"/>
        </w:rPr>
        <w:t xml:space="preserve"> </w:t>
      </w:r>
      <w:r w:rsidRPr="00AA4567">
        <w:rPr>
          <w:rFonts w:cs="Sylfaen"/>
          <w:color w:val="000000"/>
          <w:szCs w:val="24"/>
          <w:lang w:val="hy-AM"/>
        </w:rPr>
        <w:t xml:space="preserve">ՊԵԿ </w:t>
      </w:r>
      <w:r w:rsidRPr="004178CD">
        <w:rPr>
          <w:rFonts w:cs="Sylfaen"/>
          <w:color w:val="000000"/>
          <w:szCs w:val="24"/>
          <w:lang w:val="hy-AM"/>
        </w:rPr>
        <w:t xml:space="preserve"> 202</w:t>
      </w:r>
      <w:r w:rsidRPr="00CF2F49">
        <w:rPr>
          <w:rFonts w:cs="Sylfaen"/>
          <w:color w:val="000000"/>
          <w:szCs w:val="24"/>
          <w:lang w:val="hy-AM"/>
        </w:rPr>
        <w:t>2 և 2023</w:t>
      </w:r>
      <w:r w:rsidRPr="004178CD">
        <w:rPr>
          <w:rFonts w:cs="Sylfaen"/>
          <w:color w:val="000000"/>
          <w:szCs w:val="24"/>
          <w:lang w:val="hy-AM"/>
        </w:rPr>
        <w:t xml:space="preserve"> </w:t>
      </w:r>
      <w:r w:rsidRPr="00AA4567">
        <w:rPr>
          <w:rFonts w:cs="Sylfaen"/>
          <w:color w:val="000000"/>
          <w:szCs w:val="24"/>
          <w:lang w:val="hy-AM"/>
        </w:rPr>
        <w:t>թվական</w:t>
      </w:r>
      <w:r w:rsidRPr="00CF2F49">
        <w:rPr>
          <w:rFonts w:cs="Sylfaen"/>
          <w:color w:val="000000"/>
          <w:szCs w:val="24"/>
          <w:lang w:val="hy-AM"/>
        </w:rPr>
        <w:t>ներ</w:t>
      </w:r>
      <w:r w:rsidRPr="00AA4567">
        <w:rPr>
          <w:rFonts w:cs="Sylfaen"/>
          <w:color w:val="000000"/>
          <w:szCs w:val="24"/>
          <w:lang w:val="hy-AM"/>
        </w:rPr>
        <w:t>ի պետական բյուջեի տարեկան կատարման</w:t>
      </w:r>
      <w:r w:rsidR="004624A6">
        <w:rPr>
          <w:rFonts w:cs="Sylfaen"/>
          <w:color w:val="000000"/>
          <w:szCs w:val="24"/>
          <w:lang w:val="hy-AM"/>
        </w:rPr>
        <w:t xml:space="preserve"> </w:t>
      </w:r>
      <w:r w:rsidRPr="00564CAB">
        <w:rPr>
          <w:rFonts w:cs="Sylfaen"/>
          <w:color w:val="000000"/>
          <w:szCs w:val="24"/>
          <w:lang w:val="hy-AM"/>
        </w:rPr>
        <w:t>հաշվեքննությունների ընթացքում</w:t>
      </w:r>
      <w:r w:rsidR="00B01119" w:rsidRPr="00B01119">
        <w:rPr>
          <w:rFonts w:cs="Sylfaen"/>
          <w:color w:val="000000"/>
          <w:szCs w:val="24"/>
          <w:lang w:val="hy-AM"/>
        </w:rPr>
        <w:t xml:space="preserve"> </w:t>
      </w:r>
      <w:r w:rsidR="00B01119" w:rsidRPr="00AA4567">
        <w:rPr>
          <w:rFonts w:cs="Sylfaen"/>
          <w:color w:val="000000"/>
          <w:szCs w:val="24"/>
          <w:lang w:val="hy-AM"/>
        </w:rPr>
        <w:t xml:space="preserve">Հաշվեքննիչ պալատին չի տրամադրվել </w:t>
      </w:r>
      <w:r w:rsidR="00B01119" w:rsidRPr="00CF2F49">
        <w:rPr>
          <w:rFonts w:cs="Sylfaen"/>
          <w:color w:val="000000"/>
          <w:szCs w:val="24"/>
          <w:lang w:val="hy-AM"/>
        </w:rPr>
        <w:t xml:space="preserve"> </w:t>
      </w:r>
      <w:r w:rsidR="00B01119" w:rsidRPr="00AA4567">
        <w:rPr>
          <w:rFonts w:cs="Sylfaen"/>
          <w:color w:val="000000"/>
          <w:szCs w:val="24"/>
          <w:lang w:val="hy-AM"/>
        </w:rPr>
        <w:t xml:space="preserve"> պատճառաբանելով, որ </w:t>
      </w:r>
      <w:r w:rsidR="00B01119">
        <w:rPr>
          <w:rFonts w:cs="Sylfaen"/>
          <w:color w:val="000000"/>
          <w:szCs w:val="24"/>
          <w:lang w:val="hy-AM"/>
        </w:rPr>
        <w:t xml:space="preserve">այն </w:t>
      </w:r>
      <w:r w:rsidR="00B01119" w:rsidRPr="00AA4567">
        <w:rPr>
          <w:rFonts w:cs="Sylfaen"/>
          <w:color w:val="000000"/>
          <w:szCs w:val="24"/>
          <w:lang w:val="hy-AM"/>
        </w:rPr>
        <w:t>հանդիսանում է անձնական տվյալներ պարունակող տեղեկատվություն և հաշվեքննողին կարող է տրամա</w:t>
      </w:r>
      <w:r w:rsidR="00B01119" w:rsidRPr="00AA4567">
        <w:rPr>
          <w:rFonts w:cs="Sylfaen"/>
          <w:color w:val="000000"/>
          <w:szCs w:val="24"/>
          <w:lang w:val="hy-AM"/>
        </w:rPr>
        <w:softHyphen/>
        <w:t>դրվել միայն անձնական տվյալների սուբյեկտ հանդիսացող անձանց համաձայնության առկա</w:t>
      </w:r>
      <w:r w:rsidR="00B01119" w:rsidRPr="00AA4567">
        <w:rPr>
          <w:rFonts w:cs="Sylfaen"/>
          <w:color w:val="000000"/>
          <w:szCs w:val="24"/>
          <w:lang w:val="hy-AM"/>
        </w:rPr>
        <w:softHyphen/>
        <w:t>յության պարա</w:t>
      </w:r>
      <w:r w:rsidR="00B01119" w:rsidRPr="00AA4567">
        <w:rPr>
          <w:rFonts w:cs="Sylfaen"/>
          <w:color w:val="000000"/>
          <w:szCs w:val="24"/>
          <w:lang w:val="hy-AM"/>
        </w:rPr>
        <w:softHyphen/>
        <w:t>գայում կամ առանց անհատականացնող տվյալների՝ ոչ անվանական ձևաչափով։</w:t>
      </w:r>
      <w:r w:rsidRPr="00564CAB">
        <w:rPr>
          <w:rFonts w:cs="Sylfaen"/>
          <w:color w:val="000000"/>
          <w:szCs w:val="24"/>
          <w:lang w:val="hy-AM"/>
        </w:rPr>
        <w:t xml:space="preserve"> </w:t>
      </w:r>
    </w:p>
    <w:p w14:paraId="404EDA79" w14:textId="570F3BB5" w:rsidR="00525787" w:rsidRPr="00564CAB" w:rsidRDefault="00525787" w:rsidP="00525787">
      <w:pPr>
        <w:spacing w:after="0"/>
        <w:ind w:firstLine="357"/>
        <w:rPr>
          <w:rFonts w:cs="Sylfaen"/>
          <w:color w:val="000000"/>
          <w:szCs w:val="24"/>
          <w:lang w:val="hy-AM"/>
        </w:rPr>
      </w:pPr>
      <w:r w:rsidRPr="00564CAB">
        <w:rPr>
          <w:rFonts w:cs="Sylfaen"/>
          <w:color w:val="000000"/>
          <w:szCs w:val="24"/>
          <w:lang w:val="hy-AM"/>
        </w:rPr>
        <w:t xml:space="preserve">Այդ տեղեկատվության </w:t>
      </w:r>
      <w:r w:rsidRPr="00170D4B">
        <w:rPr>
          <w:rFonts w:cs="Sylfaen"/>
          <w:color w:val="000000"/>
          <w:szCs w:val="24"/>
          <w:lang w:val="hy-AM"/>
        </w:rPr>
        <w:t>բացակայությունը</w:t>
      </w:r>
      <w:r>
        <w:rPr>
          <w:rFonts w:cs="Sylfaen"/>
          <w:color w:val="000000"/>
          <w:szCs w:val="24"/>
          <w:lang w:val="hy-AM"/>
        </w:rPr>
        <w:t xml:space="preserve"> </w:t>
      </w:r>
      <w:r w:rsidRPr="00170D4B">
        <w:rPr>
          <w:rFonts w:cs="Sylfaen"/>
          <w:color w:val="000000"/>
          <w:szCs w:val="24"/>
          <w:lang w:val="hy-AM"/>
        </w:rPr>
        <w:t>(</w:t>
      </w:r>
      <w:r w:rsidRPr="00564CAB">
        <w:rPr>
          <w:rFonts w:cs="Sylfaen"/>
          <w:color w:val="000000"/>
          <w:szCs w:val="24"/>
          <w:lang w:val="hy-AM"/>
        </w:rPr>
        <w:t>ըստ առանձին աշխատողների աշխատավարձերի, պարգևատրումների հաշվարկների, այդ հաշվարկների համար հիմք հանդիսացող հրամանների բացակայությունը</w:t>
      </w:r>
      <w:r w:rsidRPr="00170D4B">
        <w:rPr>
          <w:rFonts w:cs="Sylfaen"/>
          <w:color w:val="000000"/>
          <w:szCs w:val="24"/>
          <w:lang w:val="hy-AM"/>
        </w:rPr>
        <w:t>)</w:t>
      </w:r>
      <w:r w:rsidRPr="00564CAB">
        <w:rPr>
          <w:rFonts w:cs="Sylfaen"/>
          <w:color w:val="000000"/>
          <w:szCs w:val="24"/>
          <w:lang w:val="hy-AM"/>
        </w:rPr>
        <w:t xml:space="preserve"> </w:t>
      </w:r>
      <w:r w:rsidRPr="00170D4B">
        <w:rPr>
          <w:rFonts w:cs="Sylfaen"/>
          <w:color w:val="000000"/>
          <w:szCs w:val="24"/>
          <w:lang w:val="hy-AM"/>
        </w:rPr>
        <w:t xml:space="preserve">էապես սահմանափակում է </w:t>
      </w:r>
      <w:r w:rsidRPr="00564CAB">
        <w:rPr>
          <w:rFonts w:cs="Sylfaen"/>
          <w:color w:val="000000"/>
          <w:szCs w:val="24"/>
          <w:lang w:val="hy-AM"/>
        </w:rPr>
        <w:t xml:space="preserve">  աշխատողների աշխատավարձերի, հավելումների, պարգևատրումների հաշվարկման և վճարման օրինականության </w:t>
      </w:r>
      <w:r w:rsidR="00C452FD">
        <w:rPr>
          <w:rFonts w:cs="Sylfaen"/>
          <w:color w:val="000000"/>
          <w:szCs w:val="24"/>
          <w:lang w:val="hy-AM"/>
        </w:rPr>
        <w:t>գնահատ</w:t>
      </w:r>
      <w:r>
        <w:rPr>
          <w:rFonts w:cs="Sylfaen"/>
          <w:color w:val="000000"/>
          <w:szCs w:val="24"/>
          <w:lang w:val="hy-AM"/>
        </w:rPr>
        <w:t>ման հնարավորությունը</w:t>
      </w:r>
      <w:r w:rsidRPr="00564CAB">
        <w:rPr>
          <w:rFonts w:cs="Sylfaen"/>
          <w:color w:val="000000"/>
          <w:szCs w:val="24"/>
          <w:lang w:val="hy-AM"/>
        </w:rPr>
        <w:t>:</w:t>
      </w:r>
    </w:p>
    <w:p w14:paraId="1BD48FFB" w14:textId="1E36D02A" w:rsidR="005D101C" w:rsidRPr="000F123F" w:rsidRDefault="00B01119" w:rsidP="004073B9">
      <w:pPr>
        <w:spacing w:before="0" w:after="0"/>
        <w:ind w:firstLine="357"/>
        <w:rPr>
          <w:rFonts w:cs="Sylfaen"/>
          <w:color w:val="000000"/>
          <w:szCs w:val="24"/>
          <w:lang w:val="hy-AM"/>
        </w:rPr>
      </w:pPr>
      <w:r w:rsidRPr="00B01119">
        <w:rPr>
          <w:rFonts w:eastAsia="Times New Roman" w:cstheme="minorBidi"/>
          <w:i/>
          <w:color w:val="000000" w:themeColor="text1"/>
          <w:szCs w:val="24"/>
          <w:lang w:val="hy-AM"/>
        </w:rPr>
        <w:t xml:space="preserve"> </w:t>
      </w:r>
      <w:r w:rsidR="005D101C" w:rsidRPr="00B97C4B">
        <w:rPr>
          <w:rFonts w:cs="Sylfaen"/>
          <w:color w:val="000000"/>
          <w:szCs w:val="24"/>
          <w:lang w:val="hy-AM"/>
        </w:rPr>
        <w:t xml:space="preserve">Հաշվեքննությամբ արձանագրված անհամապատասխանությունները ներկայացված են </w:t>
      </w:r>
      <w:r w:rsidR="006556DC" w:rsidRPr="006556DC">
        <w:rPr>
          <w:rFonts w:cs="Sylfaen"/>
          <w:color w:val="000000"/>
          <w:szCs w:val="24"/>
          <w:lang w:val="hy-AM"/>
        </w:rPr>
        <w:t>IV-</w:t>
      </w:r>
      <w:r w:rsidR="006556DC" w:rsidRPr="00B97C4B">
        <w:rPr>
          <w:rFonts w:cs="Sylfaen"/>
          <w:color w:val="000000"/>
          <w:szCs w:val="24"/>
          <w:lang w:val="hy-AM"/>
        </w:rPr>
        <w:t xml:space="preserve"> րդ</w:t>
      </w:r>
      <w:r w:rsidR="006556DC" w:rsidRPr="006556DC">
        <w:rPr>
          <w:rFonts w:cs="Sylfaen"/>
          <w:color w:val="000000"/>
          <w:szCs w:val="24"/>
          <w:lang w:val="hy-AM"/>
        </w:rPr>
        <w:t xml:space="preserve"> բաժնի</w:t>
      </w:r>
      <w:r w:rsidR="006556DC" w:rsidRPr="00B97C4B">
        <w:rPr>
          <w:rFonts w:cs="Sylfaen"/>
          <w:color w:val="000000"/>
          <w:szCs w:val="24"/>
          <w:lang w:val="hy-AM"/>
        </w:rPr>
        <w:t xml:space="preserve"> </w:t>
      </w:r>
      <w:r w:rsidR="005D101C" w:rsidRPr="00B97C4B">
        <w:rPr>
          <w:rFonts w:cs="Sylfaen"/>
          <w:color w:val="000000"/>
          <w:szCs w:val="24"/>
          <w:lang w:val="hy-AM"/>
        </w:rPr>
        <w:t>1-ից</w:t>
      </w:r>
      <w:r w:rsidR="00E877EA">
        <w:rPr>
          <w:rFonts w:cs="Sylfaen"/>
          <w:color w:val="000000"/>
          <w:szCs w:val="24"/>
          <w:lang w:val="hy-AM"/>
        </w:rPr>
        <w:t xml:space="preserve"> 6</w:t>
      </w:r>
      <w:r w:rsidR="005D101C" w:rsidRPr="00B97C4B">
        <w:rPr>
          <w:rFonts w:cs="Sylfaen"/>
          <w:color w:val="000000"/>
          <w:szCs w:val="24"/>
          <w:lang w:val="hy-AM"/>
        </w:rPr>
        <w:t>-րդ</w:t>
      </w:r>
      <w:r w:rsidR="00B97C4B" w:rsidRPr="00B97C4B">
        <w:rPr>
          <w:rFonts w:cs="Sylfaen"/>
          <w:color w:val="000000"/>
          <w:szCs w:val="24"/>
          <w:lang w:val="hy-AM"/>
        </w:rPr>
        <w:t xml:space="preserve"> կետերում</w:t>
      </w:r>
      <w:r w:rsidR="00E94337">
        <w:rPr>
          <w:rFonts w:cs="Sylfaen"/>
          <w:color w:val="000000"/>
          <w:szCs w:val="24"/>
          <w:lang w:val="hy-AM"/>
        </w:rPr>
        <w:t>, իսկ խեղաթյուրումները</w:t>
      </w:r>
      <w:r w:rsidR="00913046">
        <w:rPr>
          <w:rFonts w:cs="Sylfaen"/>
          <w:color w:val="000000"/>
          <w:szCs w:val="24"/>
          <w:lang w:val="hy-AM"/>
        </w:rPr>
        <w:t>՝</w:t>
      </w:r>
      <w:r w:rsidR="000C37B2" w:rsidRPr="000C37B2">
        <w:rPr>
          <w:rFonts w:cs="Sylfaen"/>
          <w:color w:val="000000"/>
          <w:szCs w:val="24"/>
          <w:lang w:val="hy-AM"/>
        </w:rPr>
        <w:t xml:space="preserve"> </w:t>
      </w:r>
      <w:r w:rsidR="006556DC" w:rsidRPr="006556DC">
        <w:rPr>
          <w:rFonts w:cs="Sylfaen"/>
          <w:color w:val="000000"/>
          <w:szCs w:val="24"/>
          <w:lang w:val="hy-AM"/>
        </w:rPr>
        <w:t>V</w:t>
      </w:r>
      <w:r w:rsidR="006556DC">
        <w:rPr>
          <w:rFonts w:cs="Sylfaen"/>
          <w:color w:val="000000"/>
          <w:szCs w:val="24"/>
          <w:lang w:val="hy-AM"/>
        </w:rPr>
        <w:t xml:space="preserve">-րդ բաժնի </w:t>
      </w:r>
      <w:r w:rsidR="00E877EA">
        <w:rPr>
          <w:rFonts w:cs="Sylfaen"/>
          <w:color w:val="000000"/>
          <w:szCs w:val="24"/>
          <w:lang w:val="hy-AM"/>
        </w:rPr>
        <w:t>7</w:t>
      </w:r>
      <w:r w:rsidR="00B97C4B" w:rsidRPr="00B97C4B">
        <w:rPr>
          <w:rFonts w:cs="Sylfaen"/>
          <w:color w:val="000000"/>
          <w:szCs w:val="24"/>
          <w:lang w:val="hy-AM"/>
        </w:rPr>
        <w:t xml:space="preserve">-րդ </w:t>
      </w:r>
      <w:r w:rsidR="00E94337" w:rsidRPr="00E94337">
        <w:rPr>
          <w:rFonts w:cs="Sylfaen"/>
          <w:color w:val="000000"/>
          <w:szCs w:val="24"/>
          <w:lang w:val="hy-AM"/>
        </w:rPr>
        <w:t>և</w:t>
      </w:r>
      <w:r w:rsidR="00E877EA">
        <w:rPr>
          <w:rFonts w:cs="Sylfaen"/>
          <w:color w:val="000000"/>
          <w:szCs w:val="24"/>
          <w:lang w:val="hy-AM"/>
        </w:rPr>
        <w:t xml:space="preserve"> 8</w:t>
      </w:r>
      <w:r w:rsidR="00E94337" w:rsidRPr="00E94337">
        <w:rPr>
          <w:rFonts w:cs="Sylfaen"/>
          <w:color w:val="000000"/>
          <w:szCs w:val="24"/>
          <w:lang w:val="hy-AM"/>
        </w:rPr>
        <w:t>-րդ</w:t>
      </w:r>
      <w:r w:rsidR="00B97C4B" w:rsidRPr="00B97C4B">
        <w:rPr>
          <w:rFonts w:cs="Sylfaen"/>
          <w:color w:val="000000"/>
          <w:szCs w:val="24"/>
          <w:lang w:val="hy-AM"/>
        </w:rPr>
        <w:t xml:space="preserve"> </w:t>
      </w:r>
      <w:r w:rsidR="004624A6">
        <w:rPr>
          <w:rFonts w:cs="Sylfaen"/>
          <w:color w:val="000000"/>
          <w:szCs w:val="24"/>
          <w:lang w:val="hy-AM"/>
        </w:rPr>
        <w:t>կետ</w:t>
      </w:r>
      <w:r w:rsidR="00E94337">
        <w:rPr>
          <w:rFonts w:cs="Sylfaen"/>
          <w:color w:val="000000"/>
          <w:szCs w:val="24"/>
          <w:lang w:val="hy-AM"/>
        </w:rPr>
        <w:t>երում</w:t>
      </w:r>
      <w:r w:rsidR="005D101C" w:rsidRPr="00B97C4B">
        <w:rPr>
          <w:rFonts w:cs="Sylfaen"/>
          <w:color w:val="000000"/>
          <w:szCs w:val="24"/>
          <w:lang w:val="hy-AM"/>
        </w:rPr>
        <w:t>՝</w:t>
      </w:r>
      <w:r w:rsidR="00B97C4B" w:rsidRPr="00B97C4B">
        <w:rPr>
          <w:rFonts w:cs="Sylfaen"/>
          <w:color w:val="000000"/>
          <w:szCs w:val="24"/>
          <w:lang w:val="hy-AM"/>
        </w:rPr>
        <w:t xml:space="preserve">  </w:t>
      </w:r>
      <w:r w:rsidR="00E94337" w:rsidRPr="00E94337">
        <w:rPr>
          <w:rFonts w:cs="Sylfaen"/>
          <w:color w:val="000000"/>
          <w:szCs w:val="24"/>
          <w:lang w:val="hy-AM"/>
        </w:rPr>
        <w:t xml:space="preserve">785,121.68 </w:t>
      </w:r>
      <w:r w:rsidR="00B97C4B" w:rsidRPr="00B97C4B">
        <w:rPr>
          <w:rFonts w:cs="Sylfaen"/>
          <w:color w:val="000000"/>
          <w:szCs w:val="24"/>
          <w:lang w:val="hy-AM"/>
        </w:rPr>
        <w:t>հազ.դրամ գումարի չափով</w:t>
      </w:r>
      <w:r w:rsidR="005D101C" w:rsidRPr="00B97C4B">
        <w:rPr>
          <w:rFonts w:cs="Sylfaen"/>
          <w:color w:val="000000"/>
          <w:szCs w:val="24"/>
          <w:lang w:val="hy-AM"/>
        </w:rPr>
        <w:t>,</w:t>
      </w:r>
      <w:r w:rsidR="00B97C4B" w:rsidRPr="00B97C4B">
        <w:rPr>
          <w:rFonts w:cs="Sylfaen"/>
          <w:color w:val="000000"/>
          <w:szCs w:val="24"/>
          <w:lang w:val="hy-AM"/>
        </w:rPr>
        <w:t xml:space="preserve"> որը </w:t>
      </w:r>
      <w:r w:rsidR="005D101C" w:rsidRPr="00B97C4B">
        <w:rPr>
          <w:rFonts w:cs="Sylfaen"/>
          <w:color w:val="000000"/>
          <w:szCs w:val="24"/>
          <w:lang w:val="hy-AM"/>
        </w:rPr>
        <w:t xml:space="preserve"> ՊԵԿ-ի 2023 թվականի պետական բյուջեի տարեկան կատարման հաշվետվությունների պատրաստման և ներկայացման տեսանկյունից էական </w:t>
      </w:r>
      <w:r w:rsidR="00B97C4B" w:rsidRPr="00B97C4B">
        <w:rPr>
          <w:rFonts w:cs="Sylfaen"/>
          <w:color w:val="000000"/>
          <w:szCs w:val="24"/>
          <w:lang w:val="hy-AM"/>
        </w:rPr>
        <w:t>է, բայց</w:t>
      </w:r>
      <w:r w:rsidR="000C37B2" w:rsidRPr="000C37B2">
        <w:rPr>
          <w:rFonts w:cs="Sylfaen"/>
          <w:color w:val="000000"/>
          <w:szCs w:val="24"/>
          <w:lang w:val="hy-AM"/>
        </w:rPr>
        <w:t xml:space="preserve"> ոչ</w:t>
      </w:r>
      <w:r w:rsidR="00B97C4B" w:rsidRPr="00B97C4B">
        <w:rPr>
          <w:rFonts w:cs="Sylfaen"/>
          <w:color w:val="000000"/>
          <w:szCs w:val="24"/>
          <w:lang w:val="hy-AM"/>
        </w:rPr>
        <w:t xml:space="preserve"> համատարած</w:t>
      </w:r>
      <w:r w:rsidR="005D101C" w:rsidRPr="00B97C4B">
        <w:rPr>
          <w:rFonts w:cs="Sylfaen"/>
          <w:color w:val="000000"/>
          <w:szCs w:val="24"/>
          <w:lang w:val="hy-AM"/>
        </w:rPr>
        <w:t>։</w:t>
      </w:r>
      <w:r w:rsidR="005D101C" w:rsidRPr="000F123F">
        <w:rPr>
          <w:rFonts w:cs="Sylfaen"/>
          <w:color w:val="000000"/>
          <w:szCs w:val="24"/>
          <w:lang w:val="hy-AM"/>
        </w:rPr>
        <w:t xml:space="preserve"> </w:t>
      </w:r>
    </w:p>
    <w:p w14:paraId="6A031418" w14:textId="77777777" w:rsidR="004073B9" w:rsidRDefault="004073B9" w:rsidP="008F3F4B">
      <w:pPr>
        <w:spacing w:before="0" w:after="0" w:line="240" w:lineRule="auto"/>
        <w:ind w:firstLine="709"/>
        <w:rPr>
          <w:rFonts w:eastAsia="MS Mincho" w:cs="Arial"/>
          <w:lang w:val="hy-AM"/>
        </w:rPr>
      </w:pPr>
    </w:p>
    <w:p w14:paraId="464C77C6" w14:textId="773FEA0E" w:rsidR="008F3F4B" w:rsidRPr="0040764A" w:rsidRDefault="008F3F4B" w:rsidP="008F3F4B">
      <w:pPr>
        <w:spacing w:before="0" w:after="0" w:line="240" w:lineRule="auto"/>
        <w:ind w:firstLine="709"/>
        <w:rPr>
          <w:rFonts w:eastAsia="MS Mincho" w:cs="Arial"/>
          <w:lang w:val="hy-AM"/>
        </w:rPr>
      </w:pPr>
      <w:r w:rsidRPr="0040764A">
        <w:rPr>
          <w:rFonts w:eastAsia="MS Mincho" w:cs="Arial"/>
          <w:lang w:val="hy-AM"/>
        </w:rPr>
        <w:t xml:space="preserve">Գեղամ Հովեյան </w:t>
      </w:r>
    </w:p>
    <w:p w14:paraId="7E9BB261" w14:textId="77777777" w:rsidR="008F3F4B" w:rsidRPr="0040764A" w:rsidRDefault="008F3F4B" w:rsidP="008F3F4B">
      <w:pPr>
        <w:tabs>
          <w:tab w:val="right" w:pos="9298"/>
        </w:tabs>
        <w:spacing w:before="0" w:after="0" w:line="240" w:lineRule="auto"/>
        <w:ind w:firstLine="709"/>
        <w:rPr>
          <w:rFonts w:cs="Sylfaen"/>
          <w:lang w:val="hy-AM"/>
        </w:rPr>
      </w:pPr>
      <w:r w:rsidRPr="0040764A">
        <w:rPr>
          <w:rFonts w:cs="Sylfaen"/>
          <w:lang w:val="hy-AM"/>
        </w:rPr>
        <w:t>Հաշվեքննիչ պալատի անդամ</w:t>
      </w:r>
      <w:r w:rsidRPr="0040764A">
        <w:rPr>
          <w:rFonts w:cs="Sylfaen"/>
          <w:lang w:val="hy-AM"/>
        </w:rPr>
        <w:tab/>
      </w:r>
    </w:p>
    <w:p w14:paraId="36173012" w14:textId="6C22CD2F" w:rsidR="008F3F4B" w:rsidRPr="0040764A" w:rsidRDefault="008F3F4B" w:rsidP="008F3F4B">
      <w:pPr>
        <w:spacing w:before="0" w:after="0" w:line="240" w:lineRule="auto"/>
        <w:ind w:firstLine="709"/>
        <w:rPr>
          <w:rFonts w:cs="Sylfaen"/>
          <w:color w:val="FF0000"/>
          <w:lang w:val="hy-AM" w:eastAsia="ru-RU"/>
        </w:rPr>
      </w:pPr>
      <w:r>
        <w:rPr>
          <w:rFonts w:cs="Sylfaen"/>
          <w:lang w:val="hy-AM"/>
        </w:rPr>
        <w:lastRenderedPageBreak/>
        <w:t>30</w:t>
      </w:r>
      <w:r w:rsidRPr="0040764A">
        <w:rPr>
          <w:rFonts w:cs="Sylfaen"/>
          <w:lang w:val="hy-AM"/>
        </w:rPr>
        <w:t xml:space="preserve"> </w:t>
      </w:r>
      <w:r>
        <w:rPr>
          <w:rFonts w:cs="Sylfaen"/>
          <w:lang w:val="hy-AM"/>
        </w:rPr>
        <w:t>ապրիլի</w:t>
      </w:r>
      <w:r w:rsidRPr="0040764A">
        <w:rPr>
          <w:rFonts w:cs="Sylfaen"/>
          <w:lang w:val="hy-AM"/>
        </w:rPr>
        <w:t xml:space="preserve"> </w:t>
      </w:r>
      <w:r>
        <w:rPr>
          <w:rFonts w:cs="Sylfaen"/>
          <w:lang w:val="hy-AM"/>
        </w:rPr>
        <w:t>2024</w:t>
      </w:r>
      <w:r w:rsidRPr="0040764A">
        <w:rPr>
          <w:rFonts w:cs="Sylfaen"/>
          <w:lang w:val="hy-AM"/>
        </w:rPr>
        <w:t xml:space="preserve"> թվական</w:t>
      </w:r>
    </w:p>
    <w:p w14:paraId="329BEDB1" w14:textId="77777777" w:rsidR="008F3F4B" w:rsidRPr="0040764A" w:rsidRDefault="008F3F4B" w:rsidP="008F3F4B">
      <w:pPr>
        <w:spacing w:before="0" w:after="0" w:line="240" w:lineRule="auto"/>
        <w:ind w:firstLine="709"/>
        <w:rPr>
          <w:rFonts w:cs="Sylfaen"/>
          <w:lang w:val="hy-AM"/>
        </w:rPr>
      </w:pPr>
      <w:r w:rsidRPr="0040764A">
        <w:rPr>
          <w:rFonts w:cs="Sylfaen"/>
          <w:lang w:val="hy-AM"/>
        </w:rPr>
        <w:t>Հաշվեքննիչ պալատ, Բաղրամյան փող. 19, ք.</w:t>
      </w:r>
      <w:r w:rsidRPr="0040764A">
        <w:rPr>
          <w:rFonts w:eastAsia="MS Mincho" w:cs="MS Mincho"/>
          <w:lang w:val="hy-AM"/>
        </w:rPr>
        <w:t xml:space="preserve"> </w:t>
      </w:r>
      <w:r w:rsidRPr="0040764A">
        <w:rPr>
          <w:rFonts w:cs="Sylfaen"/>
          <w:lang w:val="hy-AM"/>
        </w:rPr>
        <w:t xml:space="preserve">Երևան, </w:t>
      </w:r>
    </w:p>
    <w:p w14:paraId="22FA8043" w14:textId="77777777" w:rsidR="008F3F4B" w:rsidRDefault="008F3F4B" w:rsidP="008F3F4B">
      <w:pPr>
        <w:spacing w:before="0" w:after="0" w:line="240" w:lineRule="auto"/>
        <w:ind w:firstLine="709"/>
        <w:rPr>
          <w:rFonts w:cs="Sylfaen"/>
          <w:lang w:val="hy-AM"/>
        </w:rPr>
      </w:pPr>
      <w:r w:rsidRPr="0040764A">
        <w:rPr>
          <w:rFonts w:cs="Sylfaen"/>
          <w:lang w:val="hy-AM"/>
        </w:rPr>
        <w:t>Հայաստանի Հանրապետություն</w:t>
      </w:r>
    </w:p>
    <w:p w14:paraId="6C3D6224" w14:textId="77777777" w:rsidR="005D101C" w:rsidRPr="000F123F" w:rsidRDefault="005D101C" w:rsidP="005D101C">
      <w:pPr>
        <w:rPr>
          <w:lang w:val="hy-AM"/>
        </w:rPr>
        <w:sectPr w:rsidR="005D101C" w:rsidRPr="000F123F" w:rsidSect="00F940A3">
          <w:headerReference w:type="default" r:id="rId9"/>
          <w:footerReference w:type="default" r:id="rId10"/>
          <w:headerReference w:type="first" r:id="rId11"/>
          <w:pgSz w:w="12240" w:h="15840"/>
          <w:pgMar w:top="1440" w:right="1325" w:bottom="1440" w:left="993" w:header="720" w:footer="720" w:gutter="0"/>
          <w:cols w:space="720"/>
          <w:titlePg/>
          <w:docGrid w:linePitch="360"/>
        </w:sectPr>
      </w:pPr>
    </w:p>
    <w:p w14:paraId="09EB00B5" w14:textId="77777777" w:rsidR="005D101C" w:rsidRPr="000F123F" w:rsidRDefault="005D101C" w:rsidP="005D101C">
      <w:pPr>
        <w:rPr>
          <w:lang w:val="hy-AM"/>
        </w:rPr>
      </w:pPr>
    </w:p>
    <w:p w14:paraId="1786DC86" w14:textId="77777777" w:rsidR="005D101C" w:rsidRPr="000F123F" w:rsidRDefault="005D101C" w:rsidP="005D101C">
      <w:pPr>
        <w:numPr>
          <w:ilvl w:val="0"/>
          <w:numId w:val="1"/>
        </w:numPr>
        <w:spacing w:before="0" w:line="240" w:lineRule="auto"/>
        <w:ind w:left="0" w:firstLine="0"/>
        <w:jc w:val="center"/>
        <w:outlineLvl w:val="0"/>
        <w:rPr>
          <w:b/>
          <w:color w:val="0070C0"/>
          <w:sz w:val="28"/>
          <w:szCs w:val="28"/>
          <w:lang w:val="hy-AM"/>
        </w:rPr>
      </w:pPr>
      <w:bookmarkStart w:id="12" w:name="_Toc164676864"/>
      <w:r w:rsidRPr="000F123F">
        <w:rPr>
          <w:b/>
          <w:color w:val="0070C0"/>
          <w:sz w:val="28"/>
          <w:szCs w:val="28"/>
          <w:lang w:val="hy-AM"/>
        </w:rPr>
        <w:t>ՀԱՇՎԵՔՆՆՈՒԹՅԱՆ ՕԲՅԵԿՏԻ ՖԻՆԱՆՍԱԿԱՆ ՑՈՒՑԱՆԻՇՆԵՐ</w:t>
      </w:r>
      <w:bookmarkEnd w:id="7"/>
      <w:bookmarkEnd w:id="8"/>
      <w:bookmarkEnd w:id="12"/>
    </w:p>
    <w:bookmarkEnd w:id="9"/>
    <w:bookmarkEnd w:id="10"/>
    <w:p w14:paraId="2BC6C012" w14:textId="77777777" w:rsidR="005D101C" w:rsidRPr="0029448B" w:rsidRDefault="005D101C" w:rsidP="005D101C">
      <w:pPr>
        <w:jc w:val="center"/>
        <w:rPr>
          <w:lang w:val="hy-AM"/>
        </w:rPr>
      </w:pPr>
      <w:r w:rsidRPr="000F123F">
        <w:rPr>
          <w:lang w:val="hy-AM"/>
        </w:rPr>
        <w:t>ՊԵԿ 2023 թվականի բյուջետային ծախսերն ըստ ծրագր</w:t>
      </w:r>
      <w:r w:rsidRPr="0029448B">
        <w:rPr>
          <w:lang w:val="hy-AM"/>
        </w:rPr>
        <w:t>երի</w:t>
      </w:r>
    </w:p>
    <w:p w14:paraId="02C33FA5" w14:textId="77777777" w:rsidR="005D101C" w:rsidRPr="000F123F" w:rsidRDefault="005D101C" w:rsidP="005D101C">
      <w:pPr>
        <w:jc w:val="right"/>
      </w:pPr>
      <w:r w:rsidRPr="000F123F">
        <w:t>Հազ.դրամ</w:t>
      </w:r>
    </w:p>
    <w:tbl>
      <w:tblPr>
        <w:tblW w:w="1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788"/>
        <w:gridCol w:w="1643"/>
        <w:gridCol w:w="1656"/>
        <w:gridCol w:w="1630"/>
        <w:gridCol w:w="1620"/>
      </w:tblGrid>
      <w:tr w:rsidR="00B674F2" w:rsidRPr="00F76B31" w14:paraId="7B49A6FD" w14:textId="77777777" w:rsidTr="00B674F2">
        <w:trPr>
          <w:trHeight w:val="855"/>
        </w:trPr>
        <w:tc>
          <w:tcPr>
            <w:tcW w:w="4673" w:type="dxa"/>
            <w:gridSpan w:val="2"/>
            <w:shd w:val="clear" w:color="auto" w:fill="auto"/>
            <w:vAlign w:val="center"/>
            <w:hideMark/>
          </w:tcPr>
          <w:p w14:paraId="3B325114" w14:textId="77777777" w:rsidR="00B674F2" w:rsidRPr="00F76B31" w:rsidRDefault="00B674F2" w:rsidP="00B674F2">
            <w:pPr>
              <w:spacing w:before="0" w:after="0" w:line="240" w:lineRule="auto"/>
              <w:ind w:firstLine="0"/>
              <w:jc w:val="left"/>
              <w:rPr>
                <w:rFonts w:eastAsia="Times New Roman"/>
                <w:b/>
                <w:bCs/>
                <w:sz w:val="20"/>
                <w:szCs w:val="20"/>
              </w:rPr>
            </w:pPr>
            <w:r w:rsidRPr="00F76B31">
              <w:rPr>
                <w:rFonts w:ascii="Calibri" w:eastAsia="Times New Roman" w:hAnsi="Calibri" w:cs="Calibri"/>
                <w:b/>
                <w:bCs/>
                <w:sz w:val="20"/>
                <w:szCs w:val="20"/>
              </w:rPr>
              <w:t> </w:t>
            </w:r>
            <w:r w:rsidRPr="00F76B31">
              <w:rPr>
                <w:rFonts w:eastAsia="Times New Roman" w:cs="Calibri"/>
                <w:b/>
                <w:bCs/>
                <w:sz w:val="20"/>
                <w:szCs w:val="20"/>
              </w:rPr>
              <w:t>Ծրագիր</w:t>
            </w:r>
          </w:p>
          <w:p w14:paraId="145D4E20" w14:textId="77777777" w:rsidR="00B674F2" w:rsidRPr="00F76B31" w:rsidRDefault="00B674F2" w:rsidP="00B674F2">
            <w:pPr>
              <w:spacing w:before="0" w:after="0" w:line="240" w:lineRule="auto"/>
              <w:ind w:firstLine="0"/>
              <w:jc w:val="left"/>
              <w:rPr>
                <w:rFonts w:eastAsia="Times New Roman"/>
                <w:b/>
                <w:bCs/>
                <w:sz w:val="20"/>
                <w:szCs w:val="20"/>
              </w:rPr>
            </w:pPr>
            <w:r w:rsidRPr="00F76B31">
              <w:rPr>
                <w:rFonts w:ascii="Calibri" w:eastAsia="Times New Roman" w:hAnsi="Calibri" w:cs="Calibri"/>
                <w:b/>
                <w:bCs/>
                <w:sz w:val="20"/>
                <w:szCs w:val="20"/>
              </w:rPr>
              <w:t> </w:t>
            </w:r>
          </w:p>
        </w:tc>
        <w:tc>
          <w:tcPr>
            <w:tcW w:w="1643" w:type="dxa"/>
            <w:shd w:val="clear" w:color="auto" w:fill="auto"/>
            <w:vAlign w:val="center"/>
            <w:hideMark/>
          </w:tcPr>
          <w:p w14:paraId="5A8ADDA4" w14:textId="77777777" w:rsidR="00B674F2" w:rsidRPr="00F76B31" w:rsidRDefault="00B674F2" w:rsidP="00B674F2">
            <w:pPr>
              <w:spacing w:before="0" w:after="0" w:line="240" w:lineRule="auto"/>
              <w:ind w:firstLine="0"/>
              <w:jc w:val="center"/>
              <w:rPr>
                <w:rFonts w:eastAsia="Times New Roman"/>
                <w:b/>
                <w:bCs/>
                <w:sz w:val="20"/>
                <w:szCs w:val="20"/>
              </w:rPr>
            </w:pPr>
            <w:r w:rsidRPr="00F76B31">
              <w:rPr>
                <w:rFonts w:eastAsia="Times New Roman"/>
                <w:b/>
                <w:bCs/>
                <w:sz w:val="20"/>
                <w:szCs w:val="20"/>
              </w:rPr>
              <w:t>Տարեկան պլան</w:t>
            </w:r>
          </w:p>
        </w:tc>
        <w:tc>
          <w:tcPr>
            <w:tcW w:w="1656" w:type="dxa"/>
            <w:shd w:val="clear" w:color="auto" w:fill="auto"/>
            <w:vAlign w:val="center"/>
            <w:hideMark/>
          </w:tcPr>
          <w:p w14:paraId="1C65C960" w14:textId="77777777" w:rsidR="00B674F2" w:rsidRPr="00F76B31" w:rsidRDefault="00B674F2" w:rsidP="00B674F2">
            <w:pPr>
              <w:spacing w:before="0" w:after="0" w:line="240" w:lineRule="auto"/>
              <w:ind w:firstLine="0"/>
              <w:jc w:val="center"/>
              <w:rPr>
                <w:rFonts w:eastAsia="Times New Roman"/>
                <w:b/>
                <w:bCs/>
                <w:sz w:val="20"/>
                <w:szCs w:val="20"/>
              </w:rPr>
            </w:pPr>
            <w:r w:rsidRPr="00F76B31">
              <w:rPr>
                <w:rFonts w:eastAsia="Times New Roman"/>
                <w:b/>
                <w:bCs/>
                <w:sz w:val="20"/>
                <w:szCs w:val="20"/>
              </w:rPr>
              <w:t>Տարեկան ճշտված պլան</w:t>
            </w:r>
          </w:p>
        </w:tc>
        <w:tc>
          <w:tcPr>
            <w:tcW w:w="1630" w:type="dxa"/>
            <w:shd w:val="clear" w:color="auto" w:fill="auto"/>
            <w:vAlign w:val="center"/>
            <w:hideMark/>
          </w:tcPr>
          <w:p w14:paraId="07EB37D4" w14:textId="77777777" w:rsidR="00B674F2" w:rsidRPr="00F76B31" w:rsidRDefault="00B674F2" w:rsidP="00B674F2">
            <w:pPr>
              <w:spacing w:before="0" w:after="0" w:line="240" w:lineRule="auto"/>
              <w:ind w:firstLine="0"/>
              <w:jc w:val="center"/>
              <w:rPr>
                <w:rFonts w:eastAsia="Times New Roman"/>
                <w:b/>
                <w:bCs/>
                <w:sz w:val="20"/>
                <w:szCs w:val="20"/>
              </w:rPr>
            </w:pPr>
            <w:r w:rsidRPr="00F76B31">
              <w:rPr>
                <w:rFonts w:eastAsia="Times New Roman"/>
                <w:b/>
                <w:bCs/>
                <w:sz w:val="20"/>
                <w:szCs w:val="20"/>
              </w:rPr>
              <w:t>Փաստ</w:t>
            </w:r>
          </w:p>
        </w:tc>
        <w:tc>
          <w:tcPr>
            <w:tcW w:w="1620" w:type="dxa"/>
            <w:shd w:val="clear" w:color="auto" w:fill="auto"/>
            <w:vAlign w:val="center"/>
            <w:hideMark/>
          </w:tcPr>
          <w:p w14:paraId="65C96C39" w14:textId="77777777" w:rsidR="00B674F2" w:rsidRPr="00F76B31" w:rsidRDefault="00B674F2" w:rsidP="00B674F2">
            <w:pPr>
              <w:spacing w:before="0" w:after="0" w:line="240" w:lineRule="auto"/>
              <w:ind w:firstLine="0"/>
              <w:jc w:val="center"/>
              <w:rPr>
                <w:rFonts w:eastAsia="Times New Roman"/>
                <w:b/>
                <w:bCs/>
                <w:sz w:val="20"/>
                <w:szCs w:val="20"/>
              </w:rPr>
            </w:pPr>
            <w:r w:rsidRPr="00F76B31">
              <w:rPr>
                <w:rFonts w:eastAsia="Times New Roman"/>
                <w:b/>
                <w:bCs/>
                <w:sz w:val="20"/>
                <w:szCs w:val="20"/>
              </w:rPr>
              <w:t>Փաստացի ծախս</w:t>
            </w:r>
          </w:p>
        </w:tc>
      </w:tr>
      <w:tr w:rsidR="00B674F2" w:rsidRPr="00F76B31" w14:paraId="18C9A448" w14:textId="77777777" w:rsidTr="00B674F2">
        <w:trPr>
          <w:trHeight w:val="173"/>
        </w:trPr>
        <w:tc>
          <w:tcPr>
            <w:tcW w:w="4673" w:type="dxa"/>
            <w:gridSpan w:val="2"/>
            <w:shd w:val="clear" w:color="auto" w:fill="auto"/>
            <w:hideMark/>
          </w:tcPr>
          <w:p w14:paraId="53982169"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ՀՀ պետական եկամուտների կոմիտե</w:t>
            </w:r>
          </w:p>
          <w:p w14:paraId="0E468965" w14:textId="77777777" w:rsidR="00B674F2" w:rsidRPr="00F76B31" w:rsidRDefault="00B674F2" w:rsidP="00B674F2">
            <w:pPr>
              <w:spacing w:before="0" w:after="0" w:line="240" w:lineRule="auto"/>
              <w:ind w:firstLine="0"/>
              <w:jc w:val="left"/>
              <w:rPr>
                <w:rFonts w:eastAsia="Times New Roman"/>
                <w:sz w:val="20"/>
                <w:szCs w:val="20"/>
              </w:rPr>
            </w:pPr>
            <w:r w:rsidRPr="00F76B31">
              <w:rPr>
                <w:rFonts w:ascii="Calibri" w:eastAsia="Times New Roman" w:hAnsi="Calibri" w:cs="Calibri"/>
                <w:sz w:val="20"/>
                <w:szCs w:val="20"/>
              </w:rPr>
              <w:t> </w:t>
            </w:r>
          </w:p>
        </w:tc>
        <w:tc>
          <w:tcPr>
            <w:tcW w:w="1643" w:type="dxa"/>
            <w:shd w:val="clear" w:color="auto" w:fill="auto"/>
            <w:noWrap/>
            <w:hideMark/>
          </w:tcPr>
          <w:p w14:paraId="4311AFC6"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183,549,540.40</w:t>
            </w:r>
          </w:p>
        </w:tc>
        <w:tc>
          <w:tcPr>
            <w:tcW w:w="1656" w:type="dxa"/>
            <w:shd w:val="clear" w:color="auto" w:fill="auto"/>
            <w:noWrap/>
            <w:hideMark/>
          </w:tcPr>
          <w:p w14:paraId="18910EBB"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228,819,876.31</w:t>
            </w:r>
          </w:p>
        </w:tc>
        <w:tc>
          <w:tcPr>
            <w:tcW w:w="1630" w:type="dxa"/>
            <w:shd w:val="clear" w:color="auto" w:fill="auto"/>
            <w:noWrap/>
            <w:hideMark/>
          </w:tcPr>
          <w:p w14:paraId="0FEEE092"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224,388,201.99</w:t>
            </w:r>
          </w:p>
        </w:tc>
        <w:tc>
          <w:tcPr>
            <w:tcW w:w="1620" w:type="dxa"/>
            <w:shd w:val="clear" w:color="auto" w:fill="auto"/>
            <w:noWrap/>
            <w:hideMark/>
          </w:tcPr>
          <w:p w14:paraId="5A2A0333"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223,760,371.66</w:t>
            </w:r>
          </w:p>
        </w:tc>
      </w:tr>
      <w:tr w:rsidR="00B674F2" w:rsidRPr="00F76B31" w14:paraId="2DC0DBD1" w14:textId="77777777" w:rsidTr="00B674F2">
        <w:trPr>
          <w:trHeight w:val="255"/>
        </w:trPr>
        <w:tc>
          <w:tcPr>
            <w:tcW w:w="885" w:type="dxa"/>
            <w:shd w:val="clear" w:color="auto" w:fill="auto"/>
            <w:hideMark/>
          </w:tcPr>
          <w:p w14:paraId="0AB00F17"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1015</w:t>
            </w:r>
          </w:p>
        </w:tc>
        <w:tc>
          <w:tcPr>
            <w:tcW w:w="3788" w:type="dxa"/>
            <w:shd w:val="clear" w:color="auto" w:fill="auto"/>
            <w:hideMark/>
          </w:tcPr>
          <w:p w14:paraId="1F3F89EC"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Սոցիալական փաթեթների ապահովում</w:t>
            </w:r>
          </w:p>
        </w:tc>
        <w:tc>
          <w:tcPr>
            <w:tcW w:w="1643" w:type="dxa"/>
            <w:shd w:val="clear" w:color="auto" w:fill="auto"/>
            <w:noWrap/>
            <w:hideMark/>
          </w:tcPr>
          <w:p w14:paraId="639AEEC9"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w:t>
            </w:r>
          </w:p>
        </w:tc>
        <w:tc>
          <w:tcPr>
            <w:tcW w:w="1656" w:type="dxa"/>
            <w:shd w:val="clear" w:color="auto" w:fill="auto"/>
            <w:noWrap/>
            <w:hideMark/>
          </w:tcPr>
          <w:p w14:paraId="49C77CDF"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228,816.00</w:t>
            </w:r>
          </w:p>
        </w:tc>
        <w:tc>
          <w:tcPr>
            <w:tcW w:w="1630" w:type="dxa"/>
            <w:shd w:val="clear" w:color="auto" w:fill="auto"/>
            <w:noWrap/>
            <w:hideMark/>
          </w:tcPr>
          <w:p w14:paraId="050E476A"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190,188.41</w:t>
            </w:r>
          </w:p>
        </w:tc>
        <w:tc>
          <w:tcPr>
            <w:tcW w:w="1620" w:type="dxa"/>
            <w:shd w:val="clear" w:color="auto" w:fill="auto"/>
            <w:noWrap/>
            <w:hideMark/>
          </w:tcPr>
          <w:p w14:paraId="0FD65D2A"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190,188.41</w:t>
            </w:r>
          </w:p>
        </w:tc>
      </w:tr>
      <w:tr w:rsidR="00B674F2" w:rsidRPr="00F76B31" w14:paraId="26D25AF6" w14:textId="77777777" w:rsidTr="00B674F2">
        <w:trPr>
          <w:trHeight w:val="270"/>
        </w:trPr>
        <w:tc>
          <w:tcPr>
            <w:tcW w:w="885" w:type="dxa"/>
            <w:shd w:val="clear" w:color="auto" w:fill="auto"/>
            <w:hideMark/>
          </w:tcPr>
          <w:p w14:paraId="5ABDA64F"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1023</w:t>
            </w:r>
          </w:p>
        </w:tc>
        <w:tc>
          <w:tcPr>
            <w:tcW w:w="3788" w:type="dxa"/>
            <w:shd w:val="clear" w:color="auto" w:fill="auto"/>
            <w:hideMark/>
          </w:tcPr>
          <w:p w14:paraId="38A2062F"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Հարկային և մաքսային ծառայություններ</w:t>
            </w:r>
          </w:p>
        </w:tc>
        <w:tc>
          <w:tcPr>
            <w:tcW w:w="1643" w:type="dxa"/>
            <w:shd w:val="clear" w:color="auto" w:fill="auto"/>
            <w:noWrap/>
            <w:hideMark/>
          </w:tcPr>
          <w:p w14:paraId="3AD3F89D"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34,715,340.40</w:t>
            </w:r>
          </w:p>
        </w:tc>
        <w:tc>
          <w:tcPr>
            <w:tcW w:w="1656" w:type="dxa"/>
            <w:shd w:val="clear" w:color="auto" w:fill="auto"/>
            <w:noWrap/>
            <w:hideMark/>
          </w:tcPr>
          <w:p w14:paraId="70F57A12"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40,249,910.34</w:t>
            </w:r>
          </w:p>
        </w:tc>
        <w:tc>
          <w:tcPr>
            <w:tcW w:w="1630" w:type="dxa"/>
            <w:shd w:val="clear" w:color="auto" w:fill="auto"/>
            <w:noWrap/>
            <w:hideMark/>
          </w:tcPr>
          <w:p w14:paraId="1458F8FB"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38,202,317.45</w:t>
            </w:r>
          </w:p>
        </w:tc>
        <w:tc>
          <w:tcPr>
            <w:tcW w:w="1620" w:type="dxa"/>
            <w:shd w:val="clear" w:color="auto" w:fill="auto"/>
            <w:noWrap/>
            <w:hideMark/>
          </w:tcPr>
          <w:p w14:paraId="34547326"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37,573,624.40</w:t>
            </w:r>
          </w:p>
        </w:tc>
      </w:tr>
      <w:tr w:rsidR="00B674F2" w:rsidRPr="00F76B31" w14:paraId="3C00BA47" w14:textId="77777777" w:rsidTr="00B674F2">
        <w:trPr>
          <w:trHeight w:val="255"/>
        </w:trPr>
        <w:tc>
          <w:tcPr>
            <w:tcW w:w="885" w:type="dxa"/>
            <w:shd w:val="clear" w:color="auto" w:fill="auto"/>
            <w:hideMark/>
          </w:tcPr>
          <w:p w14:paraId="6EF86741"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1102</w:t>
            </w:r>
          </w:p>
        </w:tc>
        <w:tc>
          <w:tcPr>
            <w:tcW w:w="3788" w:type="dxa"/>
            <w:shd w:val="clear" w:color="auto" w:fill="auto"/>
            <w:hideMark/>
          </w:tcPr>
          <w:p w14:paraId="4A9E2B4A"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Կենսաթոշակային ապահովություն</w:t>
            </w:r>
          </w:p>
        </w:tc>
        <w:tc>
          <w:tcPr>
            <w:tcW w:w="1643" w:type="dxa"/>
            <w:shd w:val="clear" w:color="auto" w:fill="auto"/>
            <w:noWrap/>
            <w:hideMark/>
          </w:tcPr>
          <w:p w14:paraId="30EF8755"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114,100,000.00</w:t>
            </w:r>
          </w:p>
        </w:tc>
        <w:tc>
          <w:tcPr>
            <w:tcW w:w="1656" w:type="dxa"/>
            <w:shd w:val="clear" w:color="auto" w:fill="auto"/>
            <w:noWrap/>
            <w:hideMark/>
          </w:tcPr>
          <w:p w14:paraId="70278C5C"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143,699,999.97</w:t>
            </w:r>
          </w:p>
        </w:tc>
        <w:tc>
          <w:tcPr>
            <w:tcW w:w="1630" w:type="dxa"/>
            <w:shd w:val="clear" w:color="auto" w:fill="auto"/>
            <w:noWrap/>
            <w:hideMark/>
          </w:tcPr>
          <w:p w14:paraId="3840A660"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143,563,880.15</w:t>
            </w:r>
          </w:p>
        </w:tc>
        <w:tc>
          <w:tcPr>
            <w:tcW w:w="1620" w:type="dxa"/>
            <w:shd w:val="clear" w:color="auto" w:fill="auto"/>
            <w:noWrap/>
            <w:hideMark/>
          </w:tcPr>
          <w:p w14:paraId="233B7B95"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143,563,880.15</w:t>
            </w:r>
          </w:p>
        </w:tc>
      </w:tr>
      <w:tr w:rsidR="00B674F2" w:rsidRPr="00F76B31" w14:paraId="5FA3AE7E" w14:textId="77777777" w:rsidTr="00B674F2">
        <w:trPr>
          <w:trHeight w:val="255"/>
        </w:trPr>
        <w:tc>
          <w:tcPr>
            <w:tcW w:w="885" w:type="dxa"/>
            <w:shd w:val="clear" w:color="auto" w:fill="auto"/>
            <w:hideMark/>
          </w:tcPr>
          <w:p w14:paraId="02F703A6"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1205</w:t>
            </w:r>
          </w:p>
        </w:tc>
        <w:tc>
          <w:tcPr>
            <w:tcW w:w="3788" w:type="dxa"/>
            <w:shd w:val="clear" w:color="auto" w:fill="auto"/>
            <w:hideMark/>
          </w:tcPr>
          <w:p w14:paraId="5953A037"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Սոցիալական ապահովություն</w:t>
            </w:r>
          </w:p>
        </w:tc>
        <w:tc>
          <w:tcPr>
            <w:tcW w:w="1643" w:type="dxa"/>
            <w:shd w:val="clear" w:color="auto" w:fill="auto"/>
            <w:noWrap/>
            <w:hideMark/>
          </w:tcPr>
          <w:p w14:paraId="78363E90"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34,734,200.00</w:t>
            </w:r>
          </w:p>
        </w:tc>
        <w:tc>
          <w:tcPr>
            <w:tcW w:w="1656" w:type="dxa"/>
            <w:shd w:val="clear" w:color="auto" w:fill="auto"/>
            <w:noWrap/>
            <w:hideMark/>
          </w:tcPr>
          <w:p w14:paraId="540B1053"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44,641,150.00</w:t>
            </w:r>
          </w:p>
        </w:tc>
        <w:tc>
          <w:tcPr>
            <w:tcW w:w="1630" w:type="dxa"/>
            <w:shd w:val="clear" w:color="auto" w:fill="auto"/>
            <w:noWrap/>
            <w:hideMark/>
          </w:tcPr>
          <w:p w14:paraId="477E1D4A"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42,431,815.98</w:t>
            </w:r>
          </w:p>
        </w:tc>
        <w:tc>
          <w:tcPr>
            <w:tcW w:w="1620" w:type="dxa"/>
            <w:shd w:val="clear" w:color="auto" w:fill="auto"/>
            <w:noWrap/>
            <w:hideMark/>
          </w:tcPr>
          <w:p w14:paraId="4C367141"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42,431,815.98</w:t>
            </w:r>
          </w:p>
        </w:tc>
      </w:tr>
      <w:tr w:rsidR="00B674F2" w:rsidRPr="00F76B31" w14:paraId="50E99B06" w14:textId="77777777" w:rsidTr="00B674F2">
        <w:trPr>
          <w:trHeight w:val="255"/>
        </w:trPr>
        <w:tc>
          <w:tcPr>
            <w:tcW w:w="885" w:type="dxa"/>
            <w:shd w:val="clear" w:color="auto" w:fill="auto"/>
            <w:hideMark/>
          </w:tcPr>
          <w:p w14:paraId="2569F67C"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8984</w:t>
            </w:r>
          </w:p>
        </w:tc>
        <w:tc>
          <w:tcPr>
            <w:tcW w:w="3788" w:type="dxa"/>
            <w:shd w:val="clear" w:color="auto" w:fill="auto"/>
            <w:hideMark/>
          </w:tcPr>
          <w:p w14:paraId="6D21BD4C" w14:textId="77777777" w:rsidR="00B674F2" w:rsidRPr="00F76B31" w:rsidRDefault="00B674F2" w:rsidP="00B674F2">
            <w:pPr>
              <w:spacing w:before="0" w:after="0" w:line="240" w:lineRule="auto"/>
              <w:ind w:firstLine="0"/>
              <w:jc w:val="left"/>
              <w:rPr>
                <w:rFonts w:eastAsia="Times New Roman"/>
                <w:sz w:val="20"/>
                <w:szCs w:val="20"/>
              </w:rPr>
            </w:pPr>
            <w:r w:rsidRPr="00F76B31">
              <w:rPr>
                <w:rFonts w:eastAsia="Times New Roman"/>
                <w:sz w:val="20"/>
                <w:szCs w:val="20"/>
              </w:rPr>
              <w:t>Նախորդ տարիների դեբիտորական և/կամ կրեդիտորական պարտքեր</w:t>
            </w:r>
          </w:p>
        </w:tc>
        <w:tc>
          <w:tcPr>
            <w:tcW w:w="1643" w:type="dxa"/>
            <w:shd w:val="clear" w:color="auto" w:fill="auto"/>
            <w:noWrap/>
            <w:hideMark/>
          </w:tcPr>
          <w:p w14:paraId="42680D09"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w:t>
            </w:r>
          </w:p>
        </w:tc>
        <w:tc>
          <w:tcPr>
            <w:tcW w:w="1656" w:type="dxa"/>
            <w:shd w:val="clear" w:color="auto" w:fill="auto"/>
            <w:noWrap/>
            <w:hideMark/>
          </w:tcPr>
          <w:p w14:paraId="2CC8F8FF"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w:t>
            </w:r>
          </w:p>
        </w:tc>
        <w:tc>
          <w:tcPr>
            <w:tcW w:w="1630" w:type="dxa"/>
            <w:shd w:val="clear" w:color="auto" w:fill="auto"/>
            <w:noWrap/>
            <w:hideMark/>
          </w:tcPr>
          <w:p w14:paraId="3505299A"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w:t>
            </w:r>
          </w:p>
        </w:tc>
        <w:tc>
          <w:tcPr>
            <w:tcW w:w="1620" w:type="dxa"/>
            <w:shd w:val="clear" w:color="auto" w:fill="auto"/>
            <w:noWrap/>
            <w:hideMark/>
          </w:tcPr>
          <w:p w14:paraId="2219C00E" w14:textId="77777777" w:rsidR="00B674F2" w:rsidRPr="00F76B31" w:rsidRDefault="00B674F2" w:rsidP="00B674F2">
            <w:pPr>
              <w:spacing w:before="0" w:after="0" w:line="240" w:lineRule="auto"/>
              <w:ind w:firstLine="0"/>
              <w:jc w:val="right"/>
              <w:rPr>
                <w:rFonts w:eastAsia="Times New Roman"/>
                <w:sz w:val="20"/>
                <w:szCs w:val="20"/>
              </w:rPr>
            </w:pPr>
            <w:r w:rsidRPr="00F76B31">
              <w:rPr>
                <w:rFonts w:eastAsia="Times New Roman"/>
                <w:sz w:val="20"/>
                <w:szCs w:val="20"/>
              </w:rPr>
              <w:t>862.72</w:t>
            </w:r>
          </w:p>
        </w:tc>
      </w:tr>
    </w:tbl>
    <w:p w14:paraId="7A8AE048" w14:textId="77777777" w:rsidR="005D101C" w:rsidRDefault="005D101C" w:rsidP="005D101C">
      <w:pPr>
        <w:jc w:val="right"/>
      </w:pPr>
    </w:p>
    <w:p w14:paraId="3E5383A8" w14:textId="77777777" w:rsidR="00EC274F" w:rsidRDefault="00EC274F" w:rsidP="005D101C">
      <w:pPr>
        <w:jc w:val="right"/>
      </w:pPr>
    </w:p>
    <w:p w14:paraId="24EE928F" w14:textId="77777777" w:rsidR="008A058A" w:rsidRPr="008A058A" w:rsidRDefault="008A058A" w:rsidP="00EC274F">
      <w:pPr>
        <w:tabs>
          <w:tab w:val="left" w:pos="8364"/>
        </w:tabs>
        <w:spacing w:before="0" w:after="0"/>
        <w:ind w:firstLine="709"/>
        <w:jc w:val="center"/>
        <w:rPr>
          <w:rFonts w:eastAsia="Times New Roman" w:cs="Sylfaen"/>
          <w:color w:val="000000" w:themeColor="text1"/>
          <w:sz w:val="22"/>
          <w:szCs w:val="24"/>
          <w:lang w:val="hy-AM"/>
        </w:rPr>
      </w:pPr>
      <w:bookmarkStart w:id="13" w:name="_Toc94005840"/>
      <w:bookmarkStart w:id="14" w:name="_Toc77941119"/>
      <w:bookmarkStart w:id="15" w:name="_Toc46780423"/>
      <w:bookmarkStart w:id="16" w:name="_Toc103093963"/>
      <w:r w:rsidRPr="008A058A">
        <w:rPr>
          <w:rFonts w:eastAsia="Times New Roman" w:cs="Sylfaen"/>
          <w:color w:val="000000" w:themeColor="text1"/>
          <w:sz w:val="22"/>
          <w:szCs w:val="24"/>
          <w:lang w:val="hy-AM"/>
        </w:rPr>
        <w:t>ՊԵԿ-ի կողմից վերահսկվող մուտքեր (եկամուտներ)</w:t>
      </w:r>
    </w:p>
    <w:p w14:paraId="6F795036" w14:textId="77777777" w:rsidR="008A058A" w:rsidRPr="008A058A" w:rsidRDefault="008A058A" w:rsidP="00EC274F">
      <w:pPr>
        <w:tabs>
          <w:tab w:val="left" w:pos="8364"/>
        </w:tabs>
        <w:spacing w:before="0" w:after="0"/>
        <w:ind w:firstLine="709"/>
        <w:rPr>
          <w:rFonts w:eastAsia="Times New Roman" w:cs="Sylfaen"/>
          <w:color w:val="000000" w:themeColor="text1"/>
          <w:sz w:val="22"/>
          <w:szCs w:val="24"/>
          <w:lang w:val="hy-AM"/>
        </w:rPr>
      </w:pPr>
      <w:r w:rsidRPr="008A058A">
        <w:rPr>
          <w:rFonts w:eastAsia="Times New Roman" w:cs="Sylfaen"/>
          <w:color w:val="000000" w:themeColor="text1"/>
          <w:sz w:val="22"/>
          <w:szCs w:val="24"/>
          <w:lang w:val="hy-AM"/>
        </w:rPr>
        <w:t xml:space="preserve"> ՊԵԿ-ի կողմից վերահսկվող եկամուտները 2023 թվականի ընթացքում  կազմել են 2,221,924.80</w:t>
      </w:r>
      <w:r w:rsidRPr="008A058A">
        <w:rPr>
          <w:color w:val="000000" w:themeColor="text1"/>
          <w:sz w:val="22"/>
          <w:szCs w:val="24"/>
          <w:lang w:val="hy-AM"/>
        </w:rPr>
        <w:t xml:space="preserve"> </w:t>
      </w:r>
      <w:r w:rsidRPr="008A058A">
        <w:rPr>
          <w:rFonts w:eastAsia="Times New Roman" w:cs="Sylfaen"/>
          <w:color w:val="000000" w:themeColor="text1"/>
          <w:sz w:val="22"/>
          <w:szCs w:val="24"/>
          <w:lang w:val="hy-AM"/>
        </w:rPr>
        <w:t xml:space="preserve">մլն. դրամ: </w:t>
      </w:r>
    </w:p>
    <w:p w14:paraId="4B16B882" w14:textId="77777777" w:rsidR="00B674F2" w:rsidRDefault="00B674F2" w:rsidP="008F0DD9">
      <w:pPr>
        <w:tabs>
          <w:tab w:val="left" w:pos="8364"/>
        </w:tabs>
        <w:spacing w:before="0" w:after="0"/>
        <w:ind w:firstLine="709"/>
        <w:jc w:val="right"/>
        <w:rPr>
          <w:rFonts w:eastAsia="Times New Roman" w:cs="Sylfaen"/>
          <w:color w:val="000000" w:themeColor="text1"/>
          <w:sz w:val="22"/>
          <w:szCs w:val="24"/>
          <w:lang w:val="hy-AM"/>
        </w:rPr>
      </w:pPr>
    </w:p>
    <w:p w14:paraId="2C44670A" w14:textId="77777777" w:rsidR="00B674F2" w:rsidRDefault="00B674F2" w:rsidP="008F0DD9">
      <w:pPr>
        <w:tabs>
          <w:tab w:val="left" w:pos="8364"/>
        </w:tabs>
        <w:spacing w:before="0" w:after="0"/>
        <w:ind w:firstLine="709"/>
        <w:jc w:val="right"/>
        <w:rPr>
          <w:rFonts w:eastAsia="Times New Roman" w:cs="Sylfaen"/>
          <w:color w:val="000000" w:themeColor="text1"/>
          <w:sz w:val="22"/>
          <w:szCs w:val="24"/>
          <w:lang w:val="hy-AM"/>
        </w:rPr>
      </w:pPr>
    </w:p>
    <w:p w14:paraId="35E4E789" w14:textId="77777777" w:rsidR="00B674F2" w:rsidRDefault="00B674F2" w:rsidP="008F0DD9">
      <w:pPr>
        <w:tabs>
          <w:tab w:val="left" w:pos="8364"/>
        </w:tabs>
        <w:spacing w:before="0" w:after="0"/>
        <w:ind w:firstLine="709"/>
        <w:jc w:val="right"/>
        <w:rPr>
          <w:rFonts w:eastAsia="Times New Roman" w:cs="Sylfaen"/>
          <w:color w:val="000000" w:themeColor="text1"/>
          <w:sz w:val="22"/>
          <w:szCs w:val="24"/>
          <w:lang w:val="hy-AM"/>
        </w:rPr>
      </w:pPr>
    </w:p>
    <w:p w14:paraId="376BC168" w14:textId="77777777" w:rsidR="00B674F2" w:rsidRDefault="00B674F2" w:rsidP="008F0DD9">
      <w:pPr>
        <w:tabs>
          <w:tab w:val="left" w:pos="8364"/>
        </w:tabs>
        <w:spacing w:before="0" w:after="0"/>
        <w:ind w:firstLine="709"/>
        <w:jc w:val="right"/>
        <w:rPr>
          <w:rFonts w:eastAsia="Times New Roman" w:cs="Sylfaen"/>
          <w:color w:val="000000" w:themeColor="text1"/>
          <w:sz w:val="22"/>
          <w:szCs w:val="24"/>
          <w:lang w:val="hy-AM"/>
        </w:rPr>
      </w:pPr>
    </w:p>
    <w:p w14:paraId="76A6F9F3" w14:textId="77777777" w:rsidR="00B674F2" w:rsidRDefault="00B674F2" w:rsidP="008F0DD9">
      <w:pPr>
        <w:tabs>
          <w:tab w:val="left" w:pos="8364"/>
        </w:tabs>
        <w:spacing w:before="0" w:after="0"/>
        <w:ind w:firstLine="709"/>
        <w:jc w:val="right"/>
        <w:rPr>
          <w:rFonts w:eastAsia="Times New Roman" w:cs="Sylfaen"/>
          <w:color w:val="000000" w:themeColor="text1"/>
          <w:sz w:val="22"/>
          <w:szCs w:val="24"/>
          <w:lang w:val="hy-AM"/>
        </w:rPr>
      </w:pPr>
    </w:p>
    <w:p w14:paraId="1C0726C6" w14:textId="111F3E55" w:rsidR="008A058A" w:rsidRPr="008A058A" w:rsidRDefault="008A058A" w:rsidP="008F0DD9">
      <w:pPr>
        <w:tabs>
          <w:tab w:val="left" w:pos="8364"/>
        </w:tabs>
        <w:spacing w:before="0" w:after="0"/>
        <w:ind w:firstLine="709"/>
        <w:jc w:val="right"/>
        <w:rPr>
          <w:rFonts w:eastAsia="Times New Roman" w:cs="Sylfaen"/>
          <w:color w:val="000000" w:themeColor="text1"/>
          <w:sz w:val="22"/>
          <w:szCs w:val="24"/>
          <w:lang w:val="hy-AM"/>
        </w:rPr>
      </w:pPr>
      <w:r w:rsidRPr="008A058A">
        <w:rPr>
          <w:rFonts w:eastAsia="Times New Roman" w:cs="Sylfaen"/>
          <w:color w:val="000000" w:themeColor="text1"/>
          <w:sz w:val="22"/>
          <w:szCs w:val="24"/>
          <w:lang w:val="hy-AM"/>
        </w:rPr>
        <w:t xml:space="preserve">  </w:t>
      </w:r>
      <w:r w:rsidRPr="008A058A">
        <w:rPr>
          <w:rFonts w:eastAsiaTheme="majorEastAsia" w:cstheme="majorBidi"/>
          <w:color w:val="000000" w:themeColor="text1"/>
          <w:szCs w:val="24"/>
        </w:rPr>
        <w:t>/մլն.դրամ/</w:t>
      </w:r>
      <w:r w:rsidRPr="008A058A">
        <w:rPr>
          <w:rFonts w:asciiTheme="majorHAnsi" w:eastAsiaTheme="majorEastAsia" w:hAnsiTheme="majorHAnsi" w:cstheme="majorBidi"/>
          <w:color w:val="000000" w:themeColor="text1"/>
          <w:szCs w:val="24"/>
        </w:rPr>
        <w:fldChar w:fldCharType="begin"/>
      </w:r>
      <w:r w:rsidRPr="008A058A">
        <w:rPr>
          <w:rFonts w:asciiTheme="majorHAnsi" w:eastAsiaTheme="majorEastAsia" w:hAnsiTheme="majorHAnsi" w:cstheme="majorBidi"/>
          <w:color w:val="000000" w:themeColor="text1"/>
          <w:szCs w:val="24"/>
          <w:lang w:val="hy-AM"/>
        </w:rPr>
        <w:instrText xml:space="preserve"> LINK Excel.Sheet.12 "Book2" "Sheet1!R4C1:R22C7" \a \f 4 \h  \* MERGEFORMAT </w:instrText>
      </w:r>
      <w:r w:rsidRPr="008A058A">
        <w:rPr>
          <w:rFonts w:asciiTheme="majorHAnsi" w:eastAsiaTheme="majorEastAsia" w:hAnsiTheme="majorHAnsi" w:cstheme="majorBidi"/>
          <w:color w:val="000000" w:themeColor="text1"/>
          <w:szCs w:val="24"/>
        </w:rPr>
        <w:fldChar w:fldCharType="separate"/>
      </w:r>
    </w:p>
    <w:tbl>
      <w:tblPr>
        <w:tblW w:w="0" w:type="auto"/>
        <w:tblLook w:val="04A0" w:firstRow="1" w:lastRow="0" w:firstColumn="1" w:lastColumn="0" w:noHBand="0" w:noVBand="1"/>
      </w:tblPr>
      <w:tblGrid>
        <w:gridCol w:w="598"/>
        <w:gridCol w:w="3282"/>
        <w:gridCol w:w="1826"/>
        <w:gridCol w:w="1894"/>
        <w:gridCol w:w="1891"/>
        <w:gridCol w:w="2128"/>
        <w:gridCol w:w="1326"/>
      </w:tblGrid>
      <w:tr w:rsidR="008A058A" w:rsidRPr="00CC6DA4" w14:paraId="54211B3F" w14:textId="77777777" w:rsidTr="00CC6DA4">
        <w:trPr>
          <w:trHeight w:val="4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6736D8" w14:textId="77777777" w:rsidR="008A058A" w:rsidRPr="00CC6DA4" w:rsidRDefault="008A058A" w:rsidP="00CC6DA4">
            <w:pPr>
              <w:spacing w:before="0" w:after="0" w:line="240" w:lineRule="auto"/>
              <w:ind w:firstLine="0"/>
              <w:rPr>
                <w:rFonts w:eastAsia="Times New Roman"/>
                <w:b/>
                <w:bCs/>
                <w:color w:val="000000" w:themeColor="text1"/>
                <w:sz w:val="20"/>
                <w:szCs w:val="20"/>
              </w:rPr>
            </w:pPr>
            <w:r w:rsidRPr="00CC6DA4">
              <w:rPr>
                <w:rFonts w:eastAsia="Times New Roman"/>
                <w:b/>
                <w:bCs/>
                <w:color w:val="000000" w:themeColor="text1"/>
                <w:sz w:val="20"/>
                <w:szCs w:val="20"/>
              </w:rPr>
              <w:t>Հ/Հ</w:t>
            </w:r>
          </w:p>
        </w:tc>
        <w:tc>
          <w:tcPr>
            <w:tcW w:w="0" w:type="auto"/>
            <w:tcBorders>
              <w:top w:val="single" w:sz="4" w:space="0" w:color="auto"/>
              <w:left w:val="nil"/>
              <w:bottom w:val="single" w:sz="8" w:space="0" w:color="auto"/>
              <w:right w:val="nil"/>
            </w:tcBorders>
            <w:shd w:val="clear" w:color="auto" w:fill="auto"/>
            <w:vAlign w:val="center"/>
          </w:tcPr>
          <w:p w14:paraId="67AFF028"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Ցուցանիշ</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tcPr>
          <w:p w14:paraId="639D19C0" w14:textId="77777777" w:rsidR="008A058A" w:rsidRPr="00CC6DA4" w:rsidRDefault="008A058A" w:rsidP="00CC6DA4">
            <w:pPr>
              <w:spacing w:before="0" w:after="0" w:line="240" w:lineRule="auto"/>
              <w:ind w:firstLine="0"/>
              <w:jc w:val="right"/>
              <w:rPr>
                <w:rFonts w:eastAsia="Times New Roman"/>
                <w:b/>
                <w:bCs/>
                <w:color w:val="000000" w:themeColor="text1"/>
                <w:sz w:val="20"/>
                <w:szCs w:val="20"/>
              </w:rPr>
            </w:pPr>
            <w:r w:rsidRPr="00CC6DA4">
              <w:rPr>
                <w:rFonts w:eastAsia="Times New Roman"/>
                <w:b/>
                <w:bCs/>
                <w:color w:val="000000" w:themeColor="text1"/>
                <w:sz w:val="20"/>
                <w:szCs w:val="20"/>
              </w:rPr>
              <w:t>Հոկտեմբեր</w:t>
            </w:r>
          </w:p>
        </w:tc>
        <w:tc>
          <w:tcPr>
            <w:tcW w:w="0" w:type="auto"/>
            <w:tcBorders>
              <w:top w:val="single" w:sz="8" w:space="0" w:color="auto"/>
              <w:left w:val="nil"/>
              <w:bottom w:val="single" w:sz="8" w:space="0" w:color="auto"/>
              <w:right w:val="single" w:sz="8" w:space="0" w:color="auto"/>
            </w:tcBorders>
            <w:shd w:val="clear" w:color="auto" w:fill="auto"/>
            <w:vAlign w:val="center"/>
          </w:tcPr>
          <w:p w14:paraId="1CF1D82F" w14:textId="77777777" w:rsidR="008A058A" w:rsidRPr="00CC6DA4" w:rsidRDefault="008A058A" w:rsidP="00CC6DA4">
            <w:pPr>
              <w:spacing w:before="0" w:after="0" w:line="240" w:lineRule="auto"/>
              <w:ind w:firstLine="0"/>
              <w:jc w:val="right"/>
              <w:rPr>
                <w:rFonts w:eastAsia="Times New Roman"/>
                <w:b/>
                <w:bCs/>
                <w:color w:val="000000" w:themeColor="text1"/>
                <w:sz w:val="20"/>
                <w:szCs w:val="20"/>
              </w:rPr>
            </w:pPr>
            <w:r w:rsidRPr="00CC6DA4">
              <w:rPr>
                <w:rFonts w:eastAsia="Times New Roman"/>
                <w:b/>
                <w:bCs/>
                <w:color w:val="000000" w:themeColor="text1"/>
                <w:sz w:val="20"/>
                <w:szCs w:val="20"/>
              </w:rPr>
              <w:t>Նոյեմբեր</w:t>
            </w:r>
          </w:p>
        </w:tc>
        <w:tc>
          <w:tcPr>
            <w:tcW w:w="0" w:type="auto"/>
            <w:tcBorders>
              <w:top w:val="single" w:sz="8" w:space="0" w:color="auto"/>
              <w:left w:val="nil"/>
              <w:bottom w:val="single" w:sz="8" w:space="0" w:color="auto"/>
              <w:right w:val="single" w:sz="8" w:space="0" w:color="auto"/>
            </w:tcBorders>
            <w:shd w:val="clear" w:color="auto" w:fill="auto"/>
            <w:vAlign w:val="center"/>
          </w:tcPr>
          <w:p w14:paraId="04FF391A" w14:textId="77777777" w:rsidR="008A058A" w:rsidRPr="00CC6DA4" w:rsidRDefault="008A058A" w:rsidP="00CC6DA4">
            <w:pPr>
              <w:spacing w:before="0" w:after="0" w:line="240" w:lineRule="auto"/>
              <w:ind w:firstLine="0"/>
              <w:jc w:val="right"/>
              <w:rPr>
                <w:rFonts w:eastAsia="Times New Roman"/>
                <w:b/>
                <w:bCs/>
                <w:color w:val="000000" w:themeColor="text1"/>
                <w:sz w:val="20"/>
                <w:szCs w:val="20"/>
              </w:rPr>
            </w:pPr>
            <w:r w:rsidRPr="00CC6DA4">
              <w:rPr>
                <w:rFonts w:eastAsia="Times New Roman"/>
                <w:b/>
                <w:bCs/>
                <w:color w:val="000000" w:themeColor="text1"/>
                <w:sz w:val="20"/>
                <w:szCs w:val="20"/>
              </w:rPr>
              <w:t>Դեկտեմբեր</w:t>
            </w:r>
          </w:p>
        </w:tc>
        <w:tc>
          <w:tcPr>
            <w:tcW w:w="0" w:type="auto"/>
            <w:tcBorders>
              <w:top w:val="single" w:sz="8" w:space="0" w:color="auto"/>
              <w:left w:val="nil"/>
              <w:bottom w:val="single" w:sz="8" w:space="0" w:color="auto"/>
              <w:right w:val="single" w:sz="8" w:space="0" w:color="auto"/>
            </w:tcBorders>
            <w:shd w:val="clear" w:color="auto" w:fill="auto"/>
            <w:vAlign w:val="center"/>
          </w:tcPr>
          <w:p w14:paraId="4E3E4C7F" w14:textId="77777777" w:rsidR="008A058A" w:rsidRPr="00CC6DA4" w:rsidRDefault="008A058A" w:rsidP="00CC6DA4">
            <w:pPr>
              <w:spacing w:before="0" w:after="0" w:line="240" w:lineRule="auto"/>
              <w:ind w:firstLine="0"/>
              <w:rPr>
                <w:rFonts w:eastAsia="Times New Roman"/>
                <w:b/>
                <w:bCs/>
                <w:color w:val="000000" w:themeColor="text1"/>
                <w:sz w:val="20"/>
                <w:szCs w:val="20"/>
              </w:rPr>
            </w:pPr>
            <w:r w:rsidRPr="00CC6DA4">
              <w:rPr>
                <w:rFonts w:eastAsia="Times New Roman"/>
                <w:b/>
                <w:bCs/>
                <w:color w:val="000000" w:themeColor="text1"/>
                <w:sz w:val="20"/>
                <w:szCs w:val="20"/>
              </w:rPr>
              <w:t>Հունվար-Դեկտեմբեր</w:t>
            </w:r>
          </w:p>
        </w:tc>
        <w:tc>
          <w:tcPr>
            <w:tcW w:w="0" w:type="auto"/>
            <w:tcBorders>
              <w:top w:val="single" w:sz="8" w:space="0" w:color="auto"/>
              <w:left w:val="nil"/>
              <w:bottom w:val="single" w:sz="8" w:space="0" w:color="auto"/>
              <w:right w:val="single" w:sz="8" w:space="0" w:color="auto"/>
            </w:tcBorders>
            <w:shd w:val="clear" w:color="auto" w:fill="auto"/>
            <w:vAlign w:val="center"/>
          </w:tcPr>
          <w:p w14:paraId="47098ADD"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Տոկոս</w:t>
            </w:r>
          </w:p>
        </w:tc>
      </w:tr>
      <w:tr w:rsidR="008A058A" w:rsidRPr="00CC6DA4" w14:paraId="2778A985" w14:textId="77777777" w:rsidTr="00CC6DA4">
        <w:trPr>
          <w:trHeight w:val="360"/>
        </w:trPr>
        <w:tc>
          <w:tcPr>
            <w:tcW w:w="0" w:type="auto"/>
            <w:tcBorders>
              <w:top w:val="single" w:sz="4" w:space="0" w:color="auto"/>
              <w:left w:val="single" w:sz="8" w:space="0" w:color="auto"/>
              <w:bottom w:val="single" w:sz="8" w:space="0" w:color="auto"/>
              <w:right w:val="single" w:sz="4" w:space="0" w:color="auto"/>
            </w:tcBorders>
            <w:shd w:val="clear" w:color="auto" w:fill="auto"/>
            <w:vAlign w:val="center"/>
            <w:hideMark/>
          </w:tcPr>
          <w:p w14:paraId="151F2D5C"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1</w:t>
            </w:r>
          </w:p>
        </w:tc>
        <w:tc>
          <w:tcPr>
            <w:tcW w:w="0" w:type="auto"/>
            <w:tcBorders>
              <w:top w:val="single" w:sz="4" w:space="0" w:color="auto"/>
              <w:left w:val="nil"/>
              <w:bottom w:val="single" w:sz="8" w:space="0" w:color="auto"/>
              <w:right w:val="nil"/>
            </w:tcBorders>
            <w:shd w:val="clear" w:color="auto" w:fill="auto"/>
            <w:vAlign w:val="center"/>
            <w:hideMark/>
          </w:tcPr>
          <w:p w14:paraId="681BE45B"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2</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1147145"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4A215B"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EE903A"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5</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1FD7B1"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A253E1" w14:textId="77777777" w:rsidR="008A058A" w:rsidRPr="00CC6DA4" w:rsidRDefault="008A058A" w:rsidP="00CC6DA4">
            <w:pPr>
              <w:spacing w:before="0" w:after="0" w:line="240" w:lineRule="auto"/>
              <w:ind w:firstLine="0"/>
              <w:jc w:val="center"/>
              <w:rPr>
                <w:rFonts w:eastAsia="Times New Roman"/>
                <w:b/>
                <w:bCs/>
                <w:color w:val="000000" w:themeColor="text1"/>
                <w:sz w:val="20"/>
                <w:szCs w:val="20"/>
              </w:rPr>
            </w:pPr>
            <w:r w:rsidRPr="00CC6DA4">
              <w:rPr>
                <w:rFonts w:eastAsia="Times New Roman"/>
                <w:b/>
                <w:bCs/>
                <w:color w:val="000000" w:themeColor="text1"/>
                <w:sz w:val="20"/>
                <w:szCs w:val="20"/>
              </w:rPr>
              <w:t>7</w:t>
            </w:r>
          </w:p>
        </w:tc>
      </w:tr>
      <w:tr w:rsidR="00CC6DA4" w:rsidRPr="00CC6DA4" w14:paraId="7664F749" w14:textId="77777777" w:rsidTr="00CC6DA4">
        <w:trPr>
          <w:trHeight w:val="7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0C116E" w14:textId="77777777" w:rsidR="00CC6DA4" w:rsidRPr="00CC6DA4" w:rsidRDefault="00CC6DA4" w:rsidP="00CC6DA4">
            <w:pPr>
              <w:spacing w:before="0" w:after="0" w:line="240" w:lineRule="auto"/>
              <w:ind w:firstLine="0"/>
              <w:jc w:val="right"/>
              <w:rPr>
                <w:rFonts w:eastAsia="Times New Roman"/>
                <w:b/>
                <w:bCs/>
                <w:color w:val="000000" w:themeColor="text1"/>
                <w:sz w:val="20"/>
                <w:szCs w:val="20"/>
              </w:rPr>
            </w:pPr>
          </w:p>
        </w:tc>
        <w:tc>
          <w:tcPr>
            <w:tcW w:w="0" w:type="auto"/>
            <w:tcBorders>
              <w:top w:val="nil"/>
              <w:left w:val="nil"/>
              <w:bottom w:val="single" w:sz="4" w:space="0" w:color="auto"/>
              <w:right w:val="nil"/>
            </w:tcBorders>
            <w:shd w:val="clear" w:color="000000" w:fill="FFFFFF"/>
            <w:vAlign w:val="center"/>
            <w:hideMark/>
          </w:tcPr>
          <w:p w14:paraId="7905990D" w14:textId="77777777" w:rsidR="00CC6DA4" w:rsidRPr="00CC6DA4" w:rsidRDefault="00CC6DA4" w:rsidP="00CC6DA4">
            <w:pPr>
              <w:spacing w:before="0" w:after="0" w:line="240" w:lineRule="auto"/>
              <w:ind w:firstLine="0"/>
              <w:jc w:val="center"/>
              <w:rPr>
                <w:rFonts w:eastAsia="Times New Roman"/>
                <w:bCs/>
                <w:color w:val="000000" w:themeColor="text1"/>
                <w:sz w:val="20"/>
                <w:szCs w:val="20"/>
              </w:rPr>
            </w:pPr>
            <w:r w:rsidRPr="00CC6DA4">
              <w:rPr>
                <w:rFonts w:eastAsia="Times New Roman"/>
                <w:bCs/>
                <w:color w:val="000000" w:themeColor="text1"/>
                <w:sz w:val="20"/>
                <w:szCs w:val="20"/>
              </w:rPr>
              <w:t>ՀՀ պետական բյուջե հաշվեգրված հարկային եկամուտներ և պետական տուրք</w:t>
            </w:r>
            <w:r w:rsidRPr="00CC6DA4">
              <w:rPr>
                <w:rFonts w:eastAsia="Times New Roman"/>
                <w:bCs/>
                <w:color w:val="000000" w:themeColor="text1"/>
                <w:sz w:val="20"/>
                <w:szCs w:val="20"/>
                <w:vertAlign w:val="superscript"/>
              </w:rPr>
              <w:footnoteReference w:id="1"/>
            </w:r>
          </w:p>
        </w:tc>
        <w:tc>
          <w:tcPr>
            <w:tcW w:w="0" w:type="auto"/>
            <w:tcBorders>
              <w:top w:val="nil"/>
              <w:left w:val="single" w:sz="8" w:space="0" w:color="auto"/>
              <w:bottom w:val="single" w:sz="4" w:space="0" w:color="auto"/>
              <w:right w:val="single" w:sz="8" w:space="0" w:color="auto"/>
            </w:tcBorders>
            <w:shd w:val="clear" w:color="auto" w:fill="auto"/>
            <w:vAlign w:val="center"/>
          </w:tcPr>
          <w:p w14:paraId="66CD7DBC" w14:textId="77777777" w:rsidR="00CC6DA4" w:rsidRPr="00CC6DA4" w:rsidRDefault="00CC6DA4" w:rsidP="00CC6DA4">
            <w:pPr>
              <w:spacing w:before="0" w:after="0" w:line="240" w:lineRule="auto"/>
              <w:ind w:firstLine="0"/>
              <w:jc w:val="center"/>
              <w:rPr>
                <w:rFonts w:eastAsia="Times New Roman"/>
                <w:color w:val="000000"/>
                <w:sz w:val="20"/>
                <w:szCs w:val="20"/>
              </w:rPr>
            </w:pPr>
            <w:r w:rsidRPr="00CC6DA4">
              <w:rPr>
                <w:color w:val="000000"/>
                <w:sz w:val="20"/>
                <w:szCs w:val="20"/>
                <w:lang w:val="ru-RU"/>
              </w:rPr>
              <w:t xml:space="preserve">176,584.00 </w:t>
            </w:r>
          </w:p>
        </w:tc>
        <w:tc>
          <w:tcPr>
            <w:tcW w:w="0" w:type="auto"/>
            <w:tcBorders>
              <w:top w:val="nil"/>
              <w:left w:val="nil"/>
              <w:bottom w:val="single" w:sz="4" w:space="0" w:color="auto"/>
              <w:right w:val="single" w:sz="8" w:space="0" w:color="auto"/>
            </w:tcBorders>
            <w:shd w:val="clear" w:color="auto" w:fill="auto"/>
            <w:vAlign w:val="center"/>
          </w:tcPr>
          <w:p w14:paraId="745D726E"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161,188.60 </w:t>
            </w:r>
          </w:p>
        </w:tc>
        <w:tc>
          <w:tcPr>
            <w:tcW w:w="0" w:type="auto"/>
            <w:tcBorders>
              <w:top w:val="nil"/>
              <w:left w:val="nil"/>
              <w:bottom w:val="single" w:sz="4" w:space="0" w:color="auto"/>
              <w:right w:val="single" w:sz="8" w:space="0" w:color="auto"/>
            </w:tcBorders>
            <w:shd w:val="clear" w:color="auto" w:fill="auto"/>
            <w:vAlign w:val="center"/>
          </w:tcPr>
          <w:p w14:paraId="3FFBDDB2"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267,102.10 </w:t>
            </w:r>
          </w:p>
        </w:tc>
        <w:tc>
          <w:tcPr>
            <w:tcW w:w="0" w:type="auto"/>
            <w:tcBorders>
              <w:top w:val="nil"/>
              <w:left w:val="nil"/>
              <w:bottom w:val="single" w:sz="4" w:space="0" w:color="auto"/>
              <w:right w:val="single" w:sz="8" w:space="0" w:color="auto"/>
            </w:tcBorders>
            <w:shd w:val="clear" w:color="auto" w:fill="auto"/>
            <w:vAlign w:val="center"/>
          </w:tcPr>
          <w:p w14:paraId="3C74D9B2"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2,221,924.80 </w:t>
            </w:r>
          </w:p>
        </w:tc>
        <w:tc>
          <w:tcPr>
            <w:tcW w:w="0" w:type="auto"/>
            <w:tcBorders>
              <w:top w:val="nil"/>
              <w:left w:val="nil"/>
              <w:bottom w:val="single" w:sz="4" w:space="0" w:color="auto"/>
              <w:right w:val="single" w:sz="8" w:space="0" w:color="auto"/>
            </w:tcBorders>
            <w:shd w:val="clear" w:color="auto" w:fill="auto"/>
            <w:vAlign w:val="center"/>
          </w:tcPr>
          <w:p w14:paraId="69D047F2" w14:textId="77777777" w:rsidR="00CC6DA4" w:rsidRPr="00CC6DA4" w:rsidRDefault="00CC6DA4" w:rsidP="00CC6DA4">
            <w:pPr>
              <w:spacing w:before="0" w:after="0"/>
              <w:jc w:val="right"/>
              <w:rPr>
                <w:color w:val="000000"/>
                <w:sz w:val="20"/>
                <w:szCs w:val="20"/>
              </w:rPr>
            </w:pPr>
            <w:r w:rsidRPr="00CC6DA4">
              <w:rPr>
                <w:color w:val="000000"/>
                <w:sz w:val="20"/>
                <w:szCs w:val="20"/>
              </w:rPr>
              <w:t>100</w:t>
            </w:r>
          </w:p>
        </w:tc>
      </w:tr>
      <w:tr w:rsidR="00CC6DA4" w:rsidRPr="00CC6DA4" w14:paraId="48632295"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6FACB3"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1</w:t>
            </w:r>
          </w:p>
        </w:tc>
        <w:tc>
          <w:tcPr>
            <w:tcW w:w="0" w:type="auto"/>
            <w:tcBorders>
              <w:top w:val="nil"/>
              <w:left w:val="nil"/>
              <w:bottom w:val="single" w:sz="4" w:space="0" w:color="auto"/>
              <w:right w:val="nil"/>
            </w:tcBorders>
            <w:shd w:val="clear" w:color="auto" w:fill="auto"/>
            <w:vAlign w:val="center"/>
            <w:hideMark/>
          </w:tcPr>
          <w:p w14:paraId="49410833"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ԱԱՀ</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5EE456B4"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72,782.20 </w:t>
            </w:r>
          </w:p>
        </w:tc>
        <w:tc>
          <w:tcPr>
            <w:tcW w:w="0" w:type="auto"/>
            <w:tcBorders>
              <w:top w:val="nil"/>
              <w:left w:val="nil"/>
              <w:bottom w:val="single" w:sz="4" w:space="0" w:color="auto"/>
              <w:right w:val="single" w:sz="8" w:space="0" w:color="auto"/>
            </w:tcBorders>
            <w:shd w:val="clear" w:color="auto" w:fill="auto"/>
            <w:noWrap/>
            <w:vAlign w:val="center"/>
          </w:tcPr>
          <w:p w14:paraId="78DF30D9"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66,100.60 </w:t>
            </w:r>
          </w:p>
        </w:tc>
        <w:tc>
          <w:tcPr>
            <w:tcW w:w="0" w:type="auto"/>
            <w:tcBorders>
              <w:top w:val="nil"/>
              <w:left w:val="nil"/>
              <w:bottom w:val="single" w:sz="4" w:space="0" w:color="auto"/>
              <w:right w:val="single" w:sz="8" w:space="0" w:color="auto"/>
            </w:tcBorders>
            <w:shd w:val="clear" w:color="auto" w:fill="auto"/>
            <w:noWrap/>
            <w:vAlign w:val="center"/>
          </w:tcPr>
          <w:p w14:paraId="2561DF88"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89,858.30 </w:t>
            </w:r>
          </w:p>
        </w:tc>
        <w:tc>
          <w:tcPr>
            <w:tcW w:w="0" w:type="auto"/>
            <w:tcBorders>
              <w:top w:val="nil"/>
              <w:left w:val="nil"/>
              <w:bottom w:val="single" w:sz="4" w:space="0" w:color="auto"/>
              <w:right w:val="single" w:sz="8" w:space="0" w:color="auto"/>
            </w:tcBorders>
            <w:shd w:val="clear" w:color="auto" w:fill="auto"/>
            <w:noWrap/>
            <w:vAlign w:val="center"/>
          </w:tcPr>
          <w:p w14:paraId="36C9310F"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767,173.50 </w:t>
            </w:r>
          </w:p>
        </w:tc>
        <w:tc>
          <w:tcPr>
            <w:tcW w:w="0" w:type="auto"/>
            <w:tcBorders>
              <w:top w:val="nil"/>
              <w:left w:val="nil"/>
              <w:bottom w:val="single" w:sz="4" w:space="0" w:color="auto"/>
              <w:right w:val="single" w:sz="8" w:space="0" w:color="auto"/>
            </w:tcBorders>
            <w:shd w:val="clear" w:color="auto" w:fill="auto"/>
            <w:noWrap/>
            <w:vAlign w:val="center"/>
          </w:tcPr>
          <w:p w14:paraId="5F6BDF51"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34.5</w:t>
            </w:r>
          </w:p>
        </w:tc>
      </w:tr>
      <w:tr w:rsidR="00CC6DA4" w:rsidRPr="00CC6DA4" w14:paraId="665E6E98"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328725"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2</w:t>
            </w:r>
          </w:p>
        </w:tc>
        <w:tc>
          <w:tcPr>
            <w:tcW w:w="0" w:type="auto"/>
            <w:tcBorders>
              <w:top w:val="nil"/>
              <w:left w:val="nil"/>
              <w:bottom w:val="single" w:sz="4" w:space="0" w:color="auto"/>
              <w:right w:val="nil"/>
            </w:tcBorders>
            <w:shd w:val="clear" w:color="auto" w:fill="auto"/>
            <w:vAlign w:val="center"/>
            <w:hideMark/>
          </w:tcPr>
          <w:p w14:paraId="13776831"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Շահութահարկ</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66E4D9C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7,618.90 </w:t>
            </w:r>
          </w:p>
        </w:tc>
        <w:tc>
          <w:tcPr>
            <w:tcW w:w="0" w:type="auto"/>
            <w:tcBorders>
              <w:top w:val="nil"/>
              <w:left w:val="nil"/>
              <w:bottom w:val="single" w:sz="4" w:space="0" w:color="auto"/>
              <w:right w:val="single" w:sz="8" w:space="0" w:color="auto"/>
            </w:tcBorders>
            <w:shd w:val="clear" w:color="auto" w:fill="auto"/>
            <w:noWrap/>
            <w:vAlign w:val="center"/>
          </w:tcPr>
          <w:p w14:paraId="74843136"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2,740.80 </w:t>
            </w:r>
          </w:p>
        </w:tc>
        <w:tc>
          <w:tcPr>
            <w:tcW w:w="0" w:type="auto"/>
            <w:tcBorders>
              <w:top w:val="nil"/>
              <w:left w:val="nil"/>
              <w:bottom w:val="single" w:sz="4" w:space="0" w:color="auto"/>
              <w:right w:val="single" w:sz="8" w:space="0" w:color="auto"/>
            </w:tcBorders>
            <w:shd w:val="clear" w:color="auto" w:fill="auto"/>
            <w:noWrap/>
            <w:vAlign w:val="center"/>
          </w:tcPr>
          <w:p w14:paraId="0E60D71C"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34,657.40 </w:t>
            </w:r>
          </w:p>
        </w:tc>
        <w:tc>
          <w:tcPr>
            <w:tcW w:w="0" w:type="auto"/>
            <w:tcBorders>
              <w:top w:val="nil"/>
              <w:left w:val="nil"/>
              <w:bottom w:val="single" w:sz="4" w:space="0" w:color="auto"/>
              <w:right w:val="single" w:sz="8" w:space="0" w:color="auto"/>
            </w:tcBorders>
            <w:shd w:val="clear" w:color="auto" w:fill="auto"/>
            <w:noWrap/>
            <w:vAlign w:val="center"/>
          </w:tcPr>
          <w:p w14:paraId="342915A1"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321,520.70 </w:t>
            </w:r>
          </w:p>
        </w:tc>
        <w:tc>
          <w:tcPr>
            <w:tcW w:w="0" w:type="auto"/>
            <w:tcBorders>
              <w:top w:val="nil"/>
              <w:left w:val="nil"/>
              <w:bottom w:val="single" w:sz="4" w:space="0" w:color="auto"/>
              <w:right w:val="single" w:sz="8" w:space="0" w:color="auto"/>
            </w:tcBorders>
            <w:shd w:val="clear" w:color="auto" w:fill="auto"/>
            <w:noWrap/>
            <w:vAlign w:val="center"/>
          </w:tcPr>
          <w:p w14:paraId="272F8DC4"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14.5</w:t>
            </w:r>
          </w:p>
        </w:tc>
      </w:tr>
      <w:tr w:rsidR="00CC6DA4" w:rsidRPr="00CC6DA4" w14:paraId="270D2962" w14:textId="77777777" w:rsidTr="00CC6DA4">
        <w:trPr>
          <w:trHeight w:val="3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C5A79E"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3</w:t>
            </w:r>
          </w:p>
        </w:tc>
        <w:tc>
          <w:tcPr>
            <w:tcW w:w="0" w:type="auto"/>
            <w:tcBorders>
              <w:top w:val="nil"/>
              <w:left w:val="nil"/>
              <w:bottom w:val="single" w:sz="4" w:space="0" w:color="auto"/>
              <w:right w:val="nil"/>
            </w:tcBorders>
            <w:shd w:val="clear" w:color="auto" w:fill="auto"/>
            <w:vAlign w:val="center"/>
            <w:hideMark/>
          </w:tcPr>
          <w:p w14:paraId="6CBC2F8A"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Եկամտային հարկ</w:t>
            </w:r>
            <w:r w:rsidRPr="00CC6DA4">
              <w:rPr>
                <w:rFonts w:eastAsia="Times New Roman"/>
                <w:color w:val="000000" w:themeColor="text1"/>
                <w:sz w:val="20"/>
                <w:szCs w:val="20"/>
                <w:vertAlign w:val="superscript"/>
              </w:rPr>
              <w:footnoteReference w:id="2"/>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0A78A47E"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40,135.20 </w:t>
            </w:r>
          </w:p>
        </w:tc>
        <w:tc>
          <w:tcPr>
            <w:tcW w:w="0" w:type="auto"/>
            <w:tcBorders>
              <w:top w:val="nil"/>
              <w:left w:val="nil"/>
              <w:bottom w:val="single" w:sz="4" w:space="0" w:color="auto"/>
              <w:right w:val="single" w:sz="8" w:space="0" w:color="auto"/>
            </w:tcBorders>
            <w:shd w:val="clear" w:color="auto" w:fill="auto"/>
            <w:noWrap/>
            <w:vAlign w:val="center"/>
          </w:tcPr>
          <w:p w14:paraId="514B23D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45,575.40 </w:t>
            </w:r>
          </w:p>
        </w:tc>
        <w:tc>
          <w:tcPr>
            <w:tcW w:w="0" w:type="auto"/>
            <w:tcBorders>
              <w:top w:val="nil"/>
              <w:left w:val="nil"/>
              <w:bottom w:val="single" w:sz="4" w:space="0" w:color="auto"/>
              <w:right w:val="single" w:sz="8" w:space="0" w:color="auto"/>
            </w:tcBorders>
            <w:shd w:val="clear" w:color="auto" w:fill="auto"/>
            <w:noWrap/>
            <w:vAlign w:val="center"/>
          </w:tcPr>
          <w:p w14:paraId="4AAB573C"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64,052.90 </w:t>
            </w:r>
          </w:p>
        </w:tc>
        <w:tc>
          <w:tcPr>
            <w:tcW w:w="0" w:type="auto"/>
            <w:tcBorders>
              <w:top w:val="nil"/>
              <w:left w:val="nil"/>
              <w:bottom w:val="single" w:sz="4" w:space="0" w:color="auto"/>
              <w:right w:val="single" w:sz="8" w:space="0" w:color="auto"/>
            </w:tcBorders>
            <w:shd w:val="clear" w:color="auto" w:fill="auto"/>
            <w:noWrap/>
            <w:vAlign w:val="center"/>
          </w:tcPr>
          <w:p w14:paraId="2A3E67FF"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554,554.20 </w:t>
            </w:r>
          </w:p>
        </w:tc>
        <w:tc>
          <w:tcPr>
            <w:tcW w:w="0" w:type="auto"/>
            <w:tcBorders>
              <w:top w:val="nil"/>
              <w:left w:val="nil"/>
              <w:bottom w:val="single" w:sz="4" w:space="0" w:color="auto"/>
              <w:right w:val="single" w:sz="8" w:space="0" w:color="auto"/>
            </w:tcBorders>
            <w:shd w:val="clear" w:color="auto" w:fill="auto"/>
            <w:noWrap/>
            <w:vAlign w:val="center"/>
          </w:tcPr>
          <w:p w14:paraId="37287B40"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25</w:t>
            </w:r>
          </w:p>
        </w:tc>
      </w:tr>
      <w:tr w:rsidR="00CC6DA4" w:rsidRPr="00CC6DA4" w14:paraId="51A9FA06" w14:textId="77777777" w:rsidTr="00CC6DA4">
        <w:trPr>
          <w:trHeight w:val="345"/>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EF953FE"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4</w:t>
            </w:r>
          </w:p>
        </w:tc>
        <w:tc>
          <w:tcPr>
            <w:tcW w:w="0" w:type="auto"/>
            <w:tcBorders>
              <w:top w:val="nil"/>
              <w:left w:val="nil"/>
              <w:bottom w:val="single" w:sz="4" w:space="0" w:color="auto"/>
              <w:right w:val="nil"/>
            </w:tcBorders>
            <w:shd w:val="clear" w:color="000000" w:fill="FFFFFF"/>
            <w:vAlign w:val="center"/>
            <w:hideMark/>
          </w:tcPr>
          <w:p w14:paraId="7E18045F"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Ակցիզային հարկ</w:t>
            </w:r>
          </w:p>
        </w:tc>
        <w:tc>
          <w:tcPr>
            <w:tcW w:w="0" w:type="auto"/>
            <w:tcBorders>
              <w:top w:val="nil"/>
              <w:left w:val="single" w:sz="8" w:space="0" w:color="auto"/>
              <w:bottom w:val="single" w:sz="4" w:space="0" w:color="auto"/>
              <w:right w:val="single" w:sz="8" w:space="0" w:color="auto"/>
            </w:tcBorders>
            <w:shd w:val="clear" w:color="000000" w:fill="FFFFFF"/>
            <w:noWrap/>
            <w:vAlign w:val="center"/>
          </w:tcPr>
          <w:p w14:paraId="7A6CAD30"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13,570.30 </w:t>
            </w:r>
          </w:p>
        </w:tc>
        <w:tc>
          <w:tcPr>
            <w:tcW w:w="0" w:type="auto"/>
            <w:tcBorders>
              <w:top w:val="nil"/>
              <w:left w:val="nil"/>
              <w:bottom w:val="single" w:sz="4" w:space="0" w:color="auto"/>
              <w:right w:val="single" w:sz="8" w:space="0" w:color="auto"/>
            </w:tcBorders>
            <w:shd w:val="clear" w:color="000000" w:fill="FFFFFF"/>
            <w:noWrap/>
            <w:vAlign w:val="center"/>
          </w:tcPr>
          <w:p w14:paraId="363D143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18,181.40 </w:t>
            </w:r>
          </w:p>
        </w:tc>
        <w:tc>
          <w:tcPr>
            <w:tcW w:w="0" w:type="auto"/>
            <w:tcBorders>
              <w:top w:val="nil"/>
              <w:left w:val="nil"/>
              <w:bottom w:val="single" w:sz="4" w:space="0" w:color="auto"/>
              <w:right w:val="single" w:sz="8" w:space="0" w:color="auto"/>
            </w:tcBorders>
            <w:shd w:val="clear" w:color="000000" w:fill="FFFFFF"/>
            <w:noWrap/>
            <w:vAlign w:val="center"/>
          </w:tcPr>
          <w:p w14:paraId="603DF6C5"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21,974.00 </w:t>
            </w:r>
          </w:p>
        </w:tc>
        <w:tc>
          <w:tcPr>
            <w:tcW w:w="0" w:type="auto"/>
            <w:tcBorders>
              <w:top w:val="nil"/>
              <w:left w:val="nil"/>
              <w:bottom w:val="single" w:sz="4" w:space="0" w:color="auto"/>
              <w:right w:val="single" w:sz="8" w:space="0" w:color="auto"/>
            </w:tcBorders>
            <w:shd w:val="clear" w:color="000000" w:fill="FFFFFF"/>
            <w:noWrap/>
            <w:vAlign w:val="center"/>
          </w:tcPr>
          <w:p w14:paraId="4430CD84"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149,446.00 </w:t>
            </w:r>
          </w:p>
        </w:tc>
        <w:tc>
          <w:tcPr>
            <w:tcW w:w="0" w:type="auto"/>
            <w:tcBorders>
              <w:top w:val="nil"/>
              <w:left w:val="nil"/>
              <w:bottom w:val="single" w:sz="4" w:space="0" w:color="auto"/>
              <w:right w:val="single" w:sz="8" w:space="0" w:color="auto"/>
            </w:tcBorders>
            <w:shd w:val="clear" w:color="auto" w:fill="auto"/>
            <w:noWrap/>
            <w:vAlign w:val="center"/>
          </w:tcPr>
          <w:p w14:paraId="1F4914A6"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6.7</w:t>
            </w:r>
          </w:p>
        </w:tc>
      </w:tr>
      <w:tr w:rsidR="00CC6DA4" w:rsidRPr="00CC6DA4" w14:paraId="0A156DDB"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E98A3B"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5</w:t>
            </w:r>
          </w:p>
        </w:tc>
        <w:tc>
          <w:tcPr>
            <w:tcW w:w="0" w:type="auto"/>
            <w:tcBorders>
              <w:top w:val="nil"/>
              <w:left w:val="nil"/>
              <w:bottom w:val="single" w:sz="4" w:space="0" w:color="auto"/>
              <w:right w:val="nil"/>
            </w:tcBorders>
            <w:shd w:val="clear" w:color="auto" w:fill="auto"/>
            <w:vAlign w:val="center"/>
            <w:hideMark/>
          </w:tcPr>
          <w:p w14:paraId="1A68A8F1"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Շրջանառության հարկ</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3C25DF2C"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12,332.00 </w:t>
            </w:r>
          </w:p>
        </w:tc>
        <w:tc>
          <w:tcPr>
            <w:tcW w:w="0" w:type="auto"/>
            <w:tcBorders>
              <w:top w:val="nil"/>
              <w:left w:val="nil"/>
              <w:bottom w:val="single" w:sz="4" w:space="0" w:color="auto"/>
              <w:right w:val="single" w:sz="8" w:space="0" w:color="auto"/>
            </w:tcBorders>
            <w:shd w:val="clear" w:color="auto" w:fill="auto"/>
            <w:noWrap/>
            <w:vAlign w:val="center"/>
          </w:tcPr>
          <w:p w14:paraId="13EF741D"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1,262.30 </w:t>
            </w:r>
          </w:p>
        </w:tc>
        <w:tc>
          <w:tcPr>
            <w:tcW w:w="0" w:type="auto"/>
            <w:tcBorders>
              <w:top w:val="nil"/>
              <w:left w:val="nil"/>
              <w:bottom w:val="single" w:sz="4" w:space="0" w:color="auto"/>
              <w:right w:val="single" w:sz="8" w:space="0" w:color="auto"/>
            </w:tcBorders>
            <w:shd w:val="clear" w:color="auto" w:fill="auto"/>
            <w:noWrap/>
            <w:vAlign w:val="center"/>
          </w:tcPr>
          <w:p w14:paraId="64464583"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968.70 </w:t>
            </w:r>
          </w:p>
        </w:tc>
        <w:tc>
          <w:tcPr>
            <w:tcW w:w="0" w:type="auto"/>
            <w:tcBorders>
              <w:top w:val="nil"/>
              <w:left w:val="nil"/>
              <w:bottom w:val="single" w:sz="4" w:space="0" w:color="auto"/>
              <w:right w:val="single" w:sz="8" w:space="0" w:color="auto"/>
            </w:tcBorders>
            <w:shd w:val="clear" w:color="auto" w:fill="auto"/>
            <w:noWrap/>
            <w:vAlign w:val="center"/>
          </w:tcPr>
          <w:p w14:paraId="76E5AFA4"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52,189.30 </w:t>
            </w:r>
          </w:p>
        </w:tc>
        <w:tc>
          <w:tcPr>
            <w:tcW w:w="0" w:type="auto"/>
            <w:tcBorders>
              <w:top w:val="nil"/>
              <w:left w:val="nil"/>
              <w:bottom w:val="single" w:sz="4" w:space="0" w:color="auto"/>
              <w:right w:val="single" w:sz="8" w:space="0" w:color="auto"/>
            </w:tcBorders>
            <w:shd w:val="clear" w:color="auto" w:fill="auto"/>
            <w:noWrap/>
            <w:vAlign w:val="center"/>
          </w:tcPr>
          <w:p w14:paraId="64902CD9"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2.3</w:t>
            </w:r>
          </w:p>
        </w:tc>
      </w:tr>
      <w:tr w:rsidR="00CC6DA4" w:rsidRPr="00CC6DA4" w14:paraId="491210C0" w14:textId="77777777" w:rsidTr="00CC6DA4">
        <w:trPr>
          <w:trHeight w:val="6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324290C"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6</w:t>
            </w:r>
          </w:p>
        </w:tc>
        <w:tc>
          <w:tcPr>
            <w:tcW w:w="0" w:type="auto"/>
            <w:tcBorders>
              <w:top w:val="nil"/>
              <w:left w:val="nil"/>
              <w:bottom w:val="single" w:sz="4" w:space="0" w:color="auto"/>
              <w:right w:val="nil"/>
            </w:tcBorders>
            <w:shd w:val="clear" w:color="auto" w:fill="auto"/>
            <w:vAlign w:val="center"/>
            <w:hideMark/>
          </w:tcPr>
          <w:p w14:paraId="4D479DEE"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Բնապահպանական հարկ և բնօգտագործման վճար</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4F8294F1"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2,539.50 </w:t>
            </w:r>
          </w:p>
        </w:tc>
        <w:tc>
          <w:tcPr>
            <w:tcW w:w="0" w:type="auto"/>
            <w:tcBorders>
              <w:top w:val="nil"/>
              <w:left w:val="nil"/>
              <w:bottom w:val="single" w:sz="4" w:space="0" w:color="auto"/>
              <w:right w:val="single" w:sz="8" w:space="0" w:color="auto"/>
            </w:tcBorders>
            <w:shd w:val="clear" w:color="auto" w:fill="auto"/>
            <w:noWrap/>
            <w:vAlign w:val="center"/>
          </w:tcPr>
          <w:p w14:paraId="5F98C774"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1,116.60 </w:t>
            </w:r>
          </w:p>
        </w:tc>
        <w:tc>
          <w:tcPr>
            <w:tcW w:w="0" w:type="auto"/>
            <w:tcBorders>
              <w:top w:val="nil"/>
              <w:left w:val="nil"/>
              <w:bottom w:val="single" w:sz="4" w:space="0" w:color="auto"/>
              <w:right w:val="single" w:sz="8" w:space="0" w:color="auto"/>
            </w:tcBorders>
            <w:shd w:val="clear" w:color="auto" w:fill="auto"/>
            <w:noWrap/>
            <w:vAlign w:val="center"/>
          </w:tcPr>
          <w:p w14:paraId="0328882F"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14,940.50 </w:t>
            </w:r>
          </w:p>
        </w:tc>
        <w:tc>
          <w:tcPr>
            <w:tcW w:w="0" w:type="auto"/>
            <w:tcBorders>
              <w:top w:val="nil"/>
              <w:left w:val="nil"/>
              <w:bottom w:val="single" w:sz="4" w:space="0" w:color="auto"/>
              <w:right w:val="single" w:sz="8" w:space="0" w:color="auto"/>
            </w:tcBorders>
            <w:shd w:val="clear" w:color="auto" w:fill="auto"/>
            <w:noWrap/>
            <w:vAlign w:val="center"/>
          </w:tcPr>
          <w:p w14:paraId="44FD1AC9"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60,643.30 </w:t>
            </w:r>
          </w:p>
        </w:tc>
        <w:tc>
          <w:tcPr>
            <w:tcW w:w="0" w:type="auto"/>
            <w:tcBorders>
              <w:top w:val="nil"/>
              <w:left w:val="nil"/>
              <w:bottom w:val="single" w:sz="4" w:space="0" w:color="auto"/>
              <w:right w:val="single" w:sz="8" w:space="0" w:color="auto"/>
            </w:tcBorders>
            <w:shd w:val="clear" w:color="auto" w:fill="auto"/>
            <w:noWrap/>
            <w:vAlign w:val="center"/>
          </w:tcPr>
          <w:p w14:paraId="3CF97534"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2.7</w:t>
            </w:r>
          </w:p>
        </w:tc>
      </w:tr>
      <w:tr w:rsidR="00CC6DA4" w:rsidRPr="00CC6DA4" w14:paraId="2C3EC36C"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196CD1"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7</w:t>
            </w:r>
          </w:p>
        </w:tc>
        <w:tc>
          <w:tcPr>
            <w:tcW w:w="0" w:type="auto"/>
            <w:tcBorders>
              <w:top w:val="nil"/>
              <w:left w:val="nil"/>
              <w:bottom w:val="single" w:sz="4" w:space="0" w:color="auto"/>
              <w:right w:val="nil"/>
            </w:tcBorders>
            <w:shd w:val="clear" w:color="auto" w:fill="auto"/>
            <w:vAlign w:val="center"/>
            <w:hideMark/>
          </w:tcPr>
          <w:p w14:paraId="4B706A50"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Մաքսատուրք</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32AB577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6,682.10 </w:t>
            </w:r>
          </w:p>
        </w:tc>
        <w:tc>
          <w:tcPr>
            <w:tcW w:w="0" w:type="auto"/>
            <w:tcBorders>
              <w:top w:val="nil"/>
              <w:left w:val="nil"/>
              <w:bottom w:val="single" w:sz="4" w:space="0" w:color="auto"/>
              <w:right w:val="single" w:sz="8" w:space="0" w:color="auto"/>
            </w:tcBorders>
            <w:shd w:val="clear" w:color="auto" w:fill="auto"/>
            <w:noWrap/>
            <w:vAlign w:val="center"/>
          </w:tcPr>
          <w:p w14:paraId="7247CA0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6,916.80 </w:t>
            </w:r>
          </w:p>
        </w:tc>
        <w:tc>
          <w:tcPr>
            <w:tcW w:w="0" w:type="auto"/>
            <w:tcBorders>
              <w:top w:val="nil"/>
              <w:left w:val="nil"/>
              <w:bottom w:val="single" w:sz="4" w:space="0" w:color="auto"/>
              <w:right w:val="single" w:sz="8" w:space="0" w:color="auto"/>
            </w:tcBorders>
            <w:shd w:val="clear" w:color="auto" w:fill="auto"/>
            <w:noWrap/>
            <w:vAlign w:val="center"/>
          </w:tcPr>
          <w:p w14:paraId="471F0952"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6,882.00 </w:t>
            </w:r>
          </w:p>
        </w:tc>
        <w:tc>
          <w:tcPr>
            <w:tcW w:w="0" w:type="auto"/>
            <w:tcBorders>
              <w:top w:val="nil"/>
              <w:left w:val="nil"/>
              <w:bottom w:val="single" w:sz="4" w:space="0" w:color="auto"/>
              <w:right w:val="single" w:sz="8" w:space="0" w:color="auto"/>
            </w:tcBorders>
            <w:shd w:val="clear" w:color="auto" w:fill="auto"/>
            <w:noWrap/>
            <w:vAlign w:val="center"/>
          </w:tcPr>
          <w:p w14:paraId="0CB57C6A"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75,286.30 </w:t>
            </w:r>
          </w:p>
        </w:tc>
        <w:tc>
          <w:tcPr>
            <w:tcW w:w="0" w:type="auto"/>
            <w:tcBorders>
              <w:top w:val="nil"/>
              <w:left w:val="nil"/>
              <w:bottom w:val="single" w:sz="4" w:space="0" w:color="auto"/>
              <w:right w:val="single" w:sz="8" w:space="0" w:color="auto"/>
            </w:tcBorders>
            <w:shd w:val="clear" w:color="auto" w:fill="auto"/>
            <w:noWrap/>
            <w:vAlign w:val="center"/>
          </w:tcPr>
          <w:p w14:paraId="29729805"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3.4</w:t>
            </w:r>
          </w:p>
        </w:tc>
      </w:tr>
      <w:tr w:rsidR="00CC6DA4" w:rsidRPr="00CC6DA4" w14:paraId="6FBF10FB"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DBC446"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8</w:t>
            </w:r>
          </w:p>
        </w:tc>
        <w:tc>
          <w:tcPr>
            <w:tcW w:w="0" w:type="auto"/>
            <w:tcBorders>
              <w:top w:val="nil"/>
              <w:left w:val="nil"/>
              <w:bottom w:val="single" w:sz="4" w:space="0" w:color="auto"/>
              <w:right w:val="nil"/>
            </w:tcBorders>
            <w:shd w:val="clear" w:color="auto" w:fill="auto"/>
            <w:vAlign w:val="center"/>
            <w:hideMark/>
          </w:tcPr>
          <w:p w14:paraId="50059A8E"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Սոցիալական վճար</w:t>
            </w:r>
          </w:p>
        </w:tc>
        <w:tc>
          <w:tcPr>
            <w:tcW w:w="0" w:type="auto"/>
            <w:tcBorders>
              <w:top w:val="nil"/>
              <w:left w:val="single" w:sz="8" w:space="0" w:color="auto"/>
              <w:bottom w:val="single" w:sz="4" w:space="0" w:color="auto"/>
              <w:right w:val="single" w:sz="8" w:space="0" w:color="auto"/>
            </w:tcBorders>
            <w:shd w:val="clear" w:color="auto" w:fill="auto"/>
            <w:noWrap/>
            <w:vAlign w:val="center"/>
          </w:tcPr>
          <w:p w14:paraId="02070D6F"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7,741.60 </w:t>
            </w:r>
          </w:p>
        </w:tc>
        <w:tc>
          <w:tcPr>
            <w:tcW w:w="0" w:type="auto"/>
            <w:tcBorders>
              <w:top w:val="nil"/>
              <w:left w:val="nil"/>
              <w:bottom w:val="single" w:sz="4" w:space="0" w:color="auto"/>
              <w:right w:val="single" w:sz="8" w:space="0" w:color="auto"/>
            </w:tcBorders>
            <w:shd w:val="clear" w:color="auto" w:fill="auto"/>
            <w:noWrap/>
            <w:vAlign w:val="center"/>
          </w:tcPr>
          <w:p w14:paraId="639B189D"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7,827.40 </w:t>
            </w:r>
          </w:p>
        </w:tc>
        <w:tc>
          <w:tcPr>
            <w:tcW w:w="0" w:type="auto"/>
            <w:tcBorders>
              <w:top w:val="nil"/>
              <w:left w:val="nil"/>
              <w:bottom w:val="single" w:sz="4" w:space="0" w:color="auto"/>
              <w:right w:val="single" w:sz="8" w:space="0" w:color="auto"/>
            </w:tcBorders>
            <w:shd w:val="clear" w:color="auto" w:fill="auto"/>
            <w:noWrap/>
            <w:vAlign w:val="center"/>
          </w:tcPr>
          <w:p w14:paraId="500C2F34"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8,005.10 </w:t>
            </w:r>
          </w:p>
        </w:tc>
        <w:tc>
          <w:tcPr>
            <w:tcW w:w="0" w:type="auto"/>
            <w:tcBorders>
              <w:top w:val="nil"/>
              <w:left w:val="nil"/>
              <w:bottom w:val="single" w:sz="4" w:space="0" w:color="auto"/>
              <w:right w:val="single" w:sz="8" w:space="0" w:color="auto"/>
            </w:tcBorders>
            <w:shd w:val="clear" w:color="auto" w:fill="auto"/>
            <w:noWrap/>
            <w:vAlign w:val="center"/>
          </w:tcPr>
          <w:p w14:paraId="7E7BCB82"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90,291.60 </w:t>
            </w:r>
          </w:p>
        </w:tc>
        <w:tc>
          <w:tcPr>
            <w:tcW w:w="0" w:type="auto"/>
            <w:tcBorders>
              <w:top w:val="nil"/>
              <w:left w:val="nil"/>
              <w:bottom w:val="single" w:sz="4" w:space="0" w:color="auto"/>
              <w:right w:val="single" w:sz="8" w:space="0" w:color="auto"/>
            </w:tcBorders>
            <w:shd w:val="clear" w:color="auto" w:fill="auto"/>
            <w:noWrap/>
            <w:vAlign w:val="center"/>
          </w:tcPr>
          <w:p w14:paraId="6E3B3076"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4.1</w:t>
            </w:r>
          </w:p>
        </w:tc>
      </w:tr>
      <w:tr w:rsidR="00CC6DA4" w:rsidRPr="00CC6DA4" w14:paraId="54A229D4"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FB5F9A" w14:textId="77777777" w:rsidR="00CC6DA4" w:rsidRPr="00CC6DA4" w:rsidRDefault="00CC6DA4" w:rsidP="00CC6DA4">
            <w:pPr>
              <w:spacing w:before="0" w:after="0" w:line="240" w:lineRule="auto"/>
              <w:ind w:firstLine="0"/>
              <w:jc w:val="right"/>
              <w:rPr>
                <w:rFonts w:eastAsia="Times New Roman"/>
                <w:color w:val="000000" w:themeColor="text1"/>
                <w:sz w:val="20"/>
                <w:szCs w:val="20"/>
              </w:rPr>
            </w:pPr>
            <w:r w:rsidRPr="00CC6DA4">
              <w:rPr>
                <w:rFonts w:eastAsia="Times New Roman"/>
                <w:color w:val="000000" w:themeColor="text1"/>
                <w:sz w:val="20"/>
                <w:szCs w:val="20"/>
              </w:rPr>
              <w:t>9</w:t>
            </w:r>
          </w:p>
        </w:tc>
        <w:tc>
          <w:tcPr>
            <w:tcW w:w="0" w:type="auto"/>
            <w:tcBorders>
              <w:top w:val="nil"/>
              <w:left w:val="nil"/>
              <w:bottom w:val="single" w:sz="4" w:space="0" w:color="auto"/>
              <w:right w:val="nil"/>
            </w:tcBorders>
            <w:shd w:val="clear" w:color="auto" w:fill="auto"/>
            <w:vAlign w:val="center"/>
            <w:hideMark/>
          </w:tcPr>
          <w:p w14:paraId="398F5882" w14:textId="15626BDF"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Այլ հարկային եկամուտներ</w:t>
            </w:r>
            <w:r w:rsidR="004140A6">
              <w:rPr>
                <w:rStyle w:val="FootnoteReference"/>
                <w:rFonts w:eastAsia="Times New Roman"/>
                <w:color w:val="000000" w:themeColor="text1"/>
                <w:sz w:val="20"/>
                <w:szCs w:val="20"/>
              </w:rPr>
              <w:footnoteReference w:id="3"/>
            </w:r>
          </w:p>
        </w:tc>
        <w:tc>
          <w:tcPr>
            <w:tcW w:w="0" w:type="auto"/>
            <w:tcBorders>
              <w:top w:val="nil"/>
              <w:left w:val="single" w:sz="8" w:space="0" w:color="auto"/>
              <w:bottom w:val="single" w:sz="4" w:space="0" w:color="auto"/>
              <w:right w:val="single" w:sz="8" w:space="0" w:color="auto"/>
            </w:tcBorders>
            <w:shd w:val="clear" w:color="000000" w:fill="FFFFFF"/>
            <w:noWrap/>
            <w:vAlign w:val="center"/>
          </w:tcPr>
          <w:p w14:paraId="4B434A98"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6,536.70 </w:t>
            </w:r>
          </w:p>
        </w:tc>
        <w:tc>
          <w:tcPr>
            <w:tcW w:w="0" w:type="auto"/>
            <w:tcBorders>
              <w:top w:val="nil"/>
              <w:left w:val="nil"/>
              <w:bottom w:val="single" w:sz="4" w:space="0" w:color="auto"/>
              <w:right w:val="single" w:sz="8" w:space="0" w:color="auto"/>
            </w:tcBorders>
            <w:shd w:val="clear" w:color="000000" w:fill="FFFFFF"/>
            <w:noWrap/>
            <w:vAlign w:val="center"/>
          </w:tcPr>
          <w:p w14:paraId="6F917B1D"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5,629.70 </w:t>
            </w:r>
          </w:p>
        </w:tc>
        <w:tc>
          <w:tcPr>
            <w:tcW w:w="0" w:type="auto"/>
            <w:tcBorders>
              <w:top w:val="nil"/>
              <w:left w:val="nil"/>
              <w:bottom w:val="single" w:sz="4" w:space="0" w:color="auto"/>
              <w:right w:val="single" w:sz="8" w:space="0" w:color="auto"/>
            </w:tcBorders>
            <w:shd w:val="clear" w:color="000000" w:fill="FFFFFF"/>
            <w:noWrap/>
            <w:vAlign w:val="center"/>
          </w:tcPr>
          <w:p w14:paraId="3B2CF5D5"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18,081.10 </w:t>
            </w:r>
          </w:p>
        </w:tc>
        <w:tc>
          <w:tcPr>
            <w:tcW w:w="0" w:type="auto"/>
            <w:tcBorders>
              <w:top w:val="nil"/>
              <w:left w:val="nil"/>
              <w:bottom w:val="single" w:sz="4" w:space="0" w:color="auto"/>
              <w:right w:val="single" w:sz="8" w:space="0" w:color="auto"/>
            </w:tcBorders>
            <w:shd w:val="clear" w:color="000000" w:fill="FFFFFF"/>
            <w:noWrap/>
            <w:vAlign w:val="center"/>
          </w:tcPr>
          <w:p w14:paraId="46DFAE3E"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83,436.20 </w:t>
            </w:r>
          </w:p>
        </w:tc>
        <w:tc>
          <w:tcPr>
            <w:tcW w:w="0" w:type="auto"/>
            <w:tcBorders>
              <w:top w:val="nil"/>
              <w:left w:val="nil"/>
              <w:bottom w:val="single" w:sz="4" w:space="0" w:color="auto"/>
              <w:right w:val="single" w:sz="8" w:space="0" w:color="auto"/>
            </w:tcBorders>
            <w:shd w:val="clear" w:color="auto" w:fill="auto"/>
            <w:noWrap/>
            <w:vAlign w:val="center"/>
          </w:tcPr>
          <w:p w14:paraId="0E2C4D67"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3.8</w:t>
            </w:r>
          </w:p>
        </w:tc>
      </w:tr>
      <w:tr w:rsidR="00CC6DA4" w:rsidRPr="00CC6DA4" w14:paraId="5909C0BF" w14:textId="77777777" w:rsidTr="00CC6DA4">
        <w:trPr>
          <w:trHeight w:val="3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2B99CE" w14:textId="77777777" w:rsidR="00CC6DA4" w:rsidRPr="00CC6DA4" w:rsidRDefault="00CC6DA4" w:rsidP="00CC6DA4">
            <w:pPr>
              <w:spacing w:before="0" w:after="0" w:line="240" w:lineRule="auto"/>
              <w:ind w:firstLine="0"/>
              <w:jc w:val="right"/>
              <w:rPr>
                <w:rFonts w:eastAsia="Times New Roman"/>
                <w:color w:val="000000" w:themeColor="text1"/>
                <w:sz w:val="20"/>
                <w:szCs w:val="20"/>
                <w:lang w:val="ru-RU"/>
              </w:rPr>
            </w:pPr>
            <w:r w:rsidRPr="00CC6DA4">
              <w:rPr>
                <w:rFonts w:eastAsia="Times New Roman"/>
                <w:color w:val="000000" w:themeColor="text1"/>
                <w:sz w:val="20"/>
                <w:szCs w:val="20"/>
              </w:rPr>
              <w:lastRenderedPageBreak/>
              <w:t>10</w:t>
            </w:r>
          </w:p>
        </w:tc>
        <w:tc>
          <w:tcPr>
            <w:tcW w:w="0" w:type="auto"/>
            <w:tcBorders>
              <w:top w:val="nil"/>
              <w:left w:val="nil"/>
              <w:bottom w:val="single" w:sz="4" w:space="0" w:color="auto"/>
              <w:right w:val="nil"/>
            </w:tcBorders>
            <w:shd w:val="clear" w:color="auto" w:fill="auto"/>
            <w:vAlign w:val="center"/>
            <w:hideMark/>
          </w:tcPr>
          <w:p w14:paraId="5FB87456" w14:textId="77777777" w:rsidR="00CC6DA4" w:rsidRPr="00CC6DA4" w:rsidRDefault="00CC6DA4"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Պետական տուրք</w:t>
            </w:r>
          </w:p>
        </w:tc>
        <w:tc>
          <w:tcPr>
            <w:tcW w:w="0" w:type="auto"/>
            <w:tcBorders>
              <w:top w:val="nil"/>
              <w:left w:val="single" w:sz="8" w:space="0" w:color="auto"/>
              <w:bottom w:val="single" w:sz="4" w:space="0" w:color="auto"/>
              <w:right w:val="single" w:sz="8" w:space="0" w:color="auto"/>
            </w:tcBorders>
            <w:shd w:val="clear" w:color="000000" w:fill="FFFFFF"/>
            <w:noWrap/>
            <w:vAlign w:val="center"/>
          </w:tcPr>
          <w:p w14:paraId="4253F4DD"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6,646.60 </w:t>
            </w:r>
          </w:p>
        </w:tc>
        <w:tc>
          <w:tcPr>
            <w:tcW w:w="0" w:type="auto"/>
            <w:tcBorders>
              <w:top w:val="nil"/>
              <w:left w:val="nil"/>
              <w:bottom w:val="single" w:sz="4" w:space="0" w:color="auto"/>
              <w:right w:val="single" w:sz="8" w:space="0" w:color="auto"/>
            </w:tcBorders>
            <w:shd w:val="clear" w:color="000000" w:fill="FFFFFF"/>
            <w:noWrap/>
            <w:vAlign w:val="center"/>
          </w:tcPr>
          <w:p w14:paraId="29E59229"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5,840.10 </w:t>
            </w:r>
          </w:p>
        </w:tc>
        <w:tc>
          <w:tcPr>
            <w:tcW w:w="0" w:type="auto"/>
            <w:tcBorders>
              <w:top w:val="nil"/>
              <w:left w:val="nil"/>
              <w:bottom w:val="single" w:sz="4" w:space="0" w:color="auto"/>
              <w:right w:val="single" w:sz="8" w:space="0" w:color="auto"/>
            </w:tcBorders>
            <w:shd w:val="clear" w:color="000000" w:fill="FFFFFF"/>
            <w:noWrap/>
            <w:vAlign w:val="center"/>
          </w:tcPr>
          <w:p w14:paraId="6724FA7F"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7,700.10 </w:t>
            </w:r>
          </w:p>
        </w:tc>
        <w:tc>
          <w:tcPr>
            <w:tcW w:w="0" w:type="auto"/>
            <w:tcBorders>
              <w:top w:val="nil"/>
              <w:left w:val="nil"/>
              <w:bottom w:val="single" w:sz="4" w:space="0" w:color="auto"/>
              <w:right w:val="single" w:sz="8" w:space="0" w:color="auto"/>
            </w:tcBorders>
            <w:shd w:val="clear" w:color="000000" w:fill="FFFFFF"/>
            <w:noWrap/>
            <w:vAlign w:val="center"/>
          </w:tcPr>
          <w:p w14:paraId="10AABE8B" w14:textId="77777777" w:rsidR="00CC6DA4" w:rsidRPr="00CC6DA4" w:rsidRDefault="00CC6DA4" w:rsidP="00CC6DA4">
            <w:pPr>
              <w:spacing w:before="0" w:after="0"/>
              <w:jc w:val="center"/>
              <w:rPr>
                <w:color w:val="000000"/>
                <w:sz w:val="20"/>
                <w:szCs w:val="20"/>
              </w:rPr>
            </w:pPr>
            <w:r w:rsidRPr="00CC6DA4">
              <w:rPr>
                <w:color w:val="000000"/>
                <w:sz w:val="20"/>
                <w:szCs w:val="20"/>
                <w:lang w:val="ru-RU"/>
              </w:rPr>
              <w:t xml:space="preserve">67,448.80 </w:t>
            </w:r>
          </w:p>
        </w:tc>
        <w:tc>
          <w:tcPr>
            <w:tcW w:w="0" w:type="auto"/>
            <w:tcBorders>
              <w:top w:val="nil"/>
              <w:left w:val="nil"/>
              <w:bottom w:val="single" w:sz="4" w:space="0" w:color="auto"/>
              <w:right w:val="single" w:sz="8" w:space="0" w:color="auto"/>
            </w:tcBorders>
            <w:shd w:val="clear" w:color="auto" w:fill="auto"/>
            <w:noWrap/>
            <w:vAlign w:val="center"/>
          </w:tcPr>
          <w:p w14:paraId="015C9D43" w14:textId="77777777" w:rsidR="00CC6DA4" w:rsidRPr="00CC6DA4" w:rsidRDefault="00CC6DA4" w:rsidP="00CC6DA4">
            <w:pPr>
              <w:spacing w:before="0" w:after="0"/>
              <w:jc w:val="right"/>
              <w:rPr>
                <w:color w:val="000000"/>
                <w:sz w:val="20"/>
                <w:szCs w:val="20"/>
              </w:rPr>
            </w:pPr>
            <w:r w:rsidRPr="00CC6DA4">
              <w:rPr>
                <w:rFonts w:cs="Calibri"/>
                <w:color w:val="000000"/>
                <w:sz w:val="20"/>
                <w:szCs w:val="20"/>
              </w:rPr>
              <w:t>3</w:t>
            </w:r>
          </w:p>
        </w:tc>
      </w:tr>
      <w:tr w:rsidR="008A058A" w:rsidRPr="00CC6DA4" w14:paraId="749C47DF" w14:textId="77777777" w:rsidTr="00CC6DA4">
        <w:trPr>
          <w:trHeight w:val="36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6343C12" w14:textId="77777777" w:rsidR="008A058A" w:rsidRPr="00CC6DA4" w:rsidRDefault="008A058A" w:rsidP="00CC6DA4">
            <w:pPr>
              <w:spacing w:before="0" w:after="0" w:line="240" w:lineRule="auto"/>
              <w:ind w:firstLine="0"/>
              <w:jc w:val="right"/>
              <w:rPr>
                <w:rFonts w:eastAsia="Times New Roman"/>
                <w:color w:val="000000" w:themeColor="text1"/>
                <w:sz w:val="20"/>
                <w:szCs w:val="20"/>
                <w:lang w:val="ru-RU"/>
              </w:rPr>
            </w:pPr>
            <w:r w:rsidRPr="00CC6DA4">
              <w:rPr>
                <w:rFonts w:eastAsia="Times New Roman"/>
                <w:color w:val="000000" w:themeColor="text1"/>
                <w:sz w:val="20"/>
                <w:szCs w:val="20"/>
              </w:rPr>
              <w:t>11</w:t>
            </w:r>
          </w:p>
        </w:tc>
        <w:tc>
          <w:tcPr>
            <w:tcW w:w="0" w:type="auto"/>
            <w:tcBorders>
              <w:top w:val="nil"/>
              <w:left w:val="nil"/>
              <w:bottom w:val="single" w:sz="8" w:space="0" w:color="auto"/>
              <w:right w:val="nil"/>
            </w:tcBorders>
            <w:shd w:val="clear" w:color="auto" w:fill="auto"/>
            <w:vAlign w:val="center"/>
            <w:hideMark/>
          </w:tcPr>
          <w:p w14:paraId="7CF17E4A" w14:textId="77777777" w:rsidR="008A058A" w:rsidRPr="00CC6DA4" w:rsidRDefault="008A058A" w:rsidP="00CC6DA4">
            <w:pPr>
              <w:spacing w:before="0" w:after="0" w:line="240" w:lineRule="auto"/>
              <w:ind w:firstLine="0"/>
              <w:jc w:val="center"/>
              <w:rPr>
                <w:rFonts w:eastAsia="Times New Roman"/>
                <w:color w:val="000000" w:themeColor="text1"/>
                <w:sz w:val="20"/>
                <w:szCs w:val="20"/>
              </w:rPr>
            </w:pPr>
            <w:r w:rsidRPr="00CC6DA4">
              <w:rPr>
                <w:rFonts w:eastAsia="Times New Roman"/>
                <w:color w:val="000000" w:themeColor="text1"/>
                <w:sz w:val="20"/>
                <w:szCs w:val="20"/>
              </w:rPr>
              <w:t>Հարկերի անցումային գերավճար</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5786D178" w14:textId="77777777" w:rsidR="008A058A" w:rsidRPr="00CC6DA4" w:rsidRDefault="008A058A" w:rsidP="00CC6DA4">
            <w:pPr>
              <w:spacing w:before="0" w:after="0" w:line="240" w:lineRule="auto"/>
              <w:ind w:firstLine="0"/>
              <w:jc w:val="center"/>
              <w:rPr>
                <w:rFonts w:eastAsia="Times New Roman"/>
                <w:bCs/>
                <w:color w:val="000000" w:themeColor="text1"/>
                <w:sz w:val="20"/>
                <w:szCs w:val="20"/>
              </w:rPr>
            </w:pPr>
            <w:r w:rsidRPr="00CC6DA4">
              <w:rPr>
                <w:rFonts w:eastAsia="Times New Roman" w:cs="Calibri"/>
                <w:bCs/>
                <w:color w:val="000000" w:themeColor="text1"/>
                <w:sz w:val="20"/>
                <w:szCs w:val="20"/>
                <w:lang w:val="ru-RU" w:eastAsia="ru-RU"/>
              </w:rPr>
              <w:t>-1,1</w:t>
            </w:r>
          </w:p>
        </w:tc>
        <w:tc>
          <w:tcPr>
            <w:tcW w:w="0" w:type="auto"/>
            <w:tcBorders>
              <w:top w:val="nil"/>
              <w:left w:val="nil"/>
              <w:bottom w:val="single" w:sz="8" w:space="0" w:color="auto"/>
              <w:right w:val="single" w:sz="8" w:space="0" w:color="auto"/>
            </w:tcBorders>
            <w:shd w:val="clear" w:color="auto" w:fill="auto"/>
            <w:noWrap/>
            <w:vAlign w:val="center"/>
          </w:tcPr>
          <w:p w14:paraId="6A1EDAB5" w14:textId="77777777" w:rsidR="008A058A" w:rsidRPr="00CC6DA4" w:rsidRDefault="008A058A" w:rsidP="00CC6DA4">
            <w:pPr>
              <w:spacing w:before="0" w:after="0" w:line="240" w:lineRule="auto"/>
              <w:ind w:firstLine="0"/>
              <w:jc w:val="center"/>
              <w:rPr>
                <w:rFonts w:eastAsia="Times New Roman"/>
                <w:bCs/>
                <w:color w:val="000000" w:themeColor="text1"/>
                <w:sz w:val="20"/>
                <w:szCs w:val="20"/>
              </w:rPr>
            </w:pPr>
            <w:r w:rsidRPr="00CC6DA4">
              <w:rPr>
                <w:rFonts w:eastAsia="Times New Roman" w:cs="Calibri"/>
                <w:bCs/>
                <w:color w:val="000000" w:themeColor="text1"/>
                <w:sz w:val="20"/>
                <w:szCs w:val="20"/>
                <w:lang w:val="ru-RU" w:eastAsia="ru-RU"/>
              </w:rPr>
              <w:t>-2,5</w:t>
            </w:r>
          </w:p>
        </w:tc>
        <w:tc>
          <w:tcPr>
            <w:tcW w:w="0" w:type="auto"/>
            <w:tcBorders>
              <w:top w:val="nil"/>
              <w:left w:val="nil"/>
              <w:bottom w:val="single" w:sz="8" w:space="0" w:color="auto"/>
              <w:right w:val="single" w:sz="8" w:space="0" w:color="auto"/>
            </w:tcBorders>
            <w:shd w:val="clear" w:color="auto" w:fill="auto"/>
            <w:noWrap/>
            <w:vAlign w:val="center"/>
          </w:tcPr>
          <w:p w14:paraId="3CB94418" w14:textId="77777777" w:rsidR="008A058A" w:rsidRPr="00CC6DA4" w:rsidRDefault="008A058A" w:rsidP="00CC6DA4">
            <w:pPr>
              <w:spacing w:before="0" w:after="0" w:line="240" w:lineRule="auto"/>
              <w:ind w:firstLine="0"/>
              <w:jc w:val="center"/>
              <w:rPr>
                <w:rFonts w:eastAsia="Times New Roman"/>
                <w:bCs/>
                <w:color w:val="000000" w:themeColor="text1"/>
                <w:sz w:val="20"/>
                <w:szCs w:val="20"/>
              </w:rPr>
            </w:pPr>
            <w:r w:rsidRPr="00CC6DA4">
              <w:rPr>
                <w:rFonts w:eastAsia="Times New Roman" w:cs="Calibri"/>
                <w:bCs/>
                <w:color w:val="000000" w:themeColor="text1"/>
                <w:sz w:val="20"/>
                <w:szCs w:val="20"/>
                <w:lang w:val="ru-RU" w:eastAsia="ru-RU"/>
              </w:rPr>
              <w:t>-18,1</w:t>
            </w:r>
          </w:p>
        </w:tc>
        <w:tc>
          <w:tcPr>
            <w:tcW w:w="0" w:type="auto"/>
            <w:tcBorders>
              <w:top w:val="nil"/>
              <w:left w:val="nil"/>
              <w:bottom w:val="single" w:sz="8" w:space="0" w:color="auto"/>
              <w:right w:val="single" w:sz="8" w:space="0" w:color="auto"/>
            </w:tcBorders>
            <w:shd w:val="clear" w:color="auto" w:fill="auto"/>
            <w:noWrap/>
            <w:vAlign w:val="center"/>
          </w:tcPr>
          <w:p w14:paraId="2A762D9A" w14:textId="77777777" w:rsidR="008A058A" w:rsidRPr="00CC6DA4" w:rsidRDefault="008A058A" w:rsidP="00CC6DA4">
            <w:pPr>
              <w:spacing w:before="0" w:after="0" w:line="240" w:lineRule="auto"/>
              <w:ind w:firstLine="0"/>
              <w:jc w:val="center"/>
              <w:rPr>
                <w:rFonts w:eastAsia="Times New Roman"/>
                <w:bCs/>
                <w:color w:val="000000" w:themeColor="text1"/>
                <w:sz w:val="20"/>
                <w:szCs w:val="20"/>
              </w:rPr>
            </w:pPr>
            <w:r w:rsidRPr="00CC6DA4">
              <w:rPr>
                <w:rFonts w:eastAsia="Times New Roman" w:cs="Calibri"/>
                <w:bCs/>
                <w:color w:val="000000" w:themeColor="text1"/>
                <w:sz w:val="20"/>
                <w:szCs w:val="20"/>
                <w:lang w:val="ru-RU" w:eastAsia="ru-RU"/>
              </w:rPr>
              <w:t>-65,0</w:t>
            </w:r>
          </w:p>
        </w:tc>
        <w:tc>
          <w:tcPr>
            <w:tcW w:w="0" w:type="auto"/>
            <w:tcBorders>
              <w:top w:val="nil"/>
              <w:left w:val="nil"/>
              <w:bottom w:val="single" w:sz="4" w:space="0" w:color="auto"/>
              <w:right w:val="single" w:sz="8" w:space="0" w:color="auto"/>
            </w:tcBorders>
            <w:shd w:val="clear" w:color="auto" w:fill="auto"/>
            <w:noWrap/>
            <w:vAlign w:val="bottom"/>
          </w:tcPr>
          <w:p w14:paraId="12C04178" w14:textId="77777777" w:rsidR="008A058A" w:rsidRPr="00CC6DA4" w:rsidRDefault="008A058A" w:rsidP="00CC6DA4">
            <w:pPr>
              <w:spacing w:before="0" w:after="0" w:line="240" w:lineRule="auto"/>
              <w:ind w:firstLine="0"/>
              <w:jc w:val="right"/>
              <w:rPr>
                <w:rFonts w:eastAsia="Times New Roman"/>
                <w:bCs/>
                <w:color w:val="000000" w:themeColor="text1"/>
                <w:sz w:val="20"/>
                <w:szCs w:val="20"/>
              </w:rPr>
            </w:pPr>
            <w:r w:rsidRPr="00CC6DA4">
              <w:rPr>
                <w:rFonts w:cs="Calibri"/>
                <w:color w:val="000000"/>
                <w:sz w:val="20"/>
                <w:szCs w:val="20"/>
              </w:rPr>
              <w:t xml:space="preserve"> </w:t>
            </w:r>
          </w:p>
        </w:tc>
      </w:tr>
      <w:tr w:rsidR="008A058A" w:rsidRPr="00CC6DA4" w14:paraId="669F0760" w14:textId="77777777" w:rsidTr="00CC6DA4">
        <w:trPr>
          <w:trHeight w:val="345"/>
        </w:trPr>
        <w:tc>
          <w:tcPr>
            <w:tcW w:w="0" w:type="auto"/>
            <w:tcBorders>
              <w:top w:val="nil"/>
              <w:left w:val="nil"/>
              <w:bottom w:val="nil"/>
              <w:right w:val="nil"/>
            </w:tcBorders>
            <w:shd w:val="clear" w:color="auto" w:fill="auto"/>
            <w:noWrap/>
            <w:vAlign w:val="center"/>
            <w:hideMark/>
          </w:tcPr>
          <w:p w14:paraId="2A7E2774" w14:textId="77777777" w:rsidR="008A058A" w:rsidRPr="00CC6DA4" w:rsidRDefault="008A058A" w:rsidP="00CC6DA4">
            <w:pPr>
              <w:spacing w:before="0" w:after="0" w:line="240" w:lineRule="auto"/>
              <w:ind w:firstLine="0"/>
              <w:jc w:val="right"/>
              <w:rPr>
                <w:rFonts w:eastAsia="Times New Roman"/>
                <w:b/>
                <w:bCs/>
                <w:color w:val="000000" w:themeColor="text1"/>
                <w:sz w:val="20"/>
                <w:szCs w:val="20"/>
              </w:rPr>
            </w:pPr>
          </w:p>
        </w:tc>
        <w:tc>
          <w:tcPr>
            <w:tcW w:w="0" w:type="auto"/>
            <w:tcBorders>
              <w:top w:val="nil"/>
              <w:left w:val="nil"/>
              <w:bottom w:val="nil"/>
              <w:right w:val="nil"/>
            </w:tcBorders>
            <w:shd w:val="clear" w:color="auto" w:fill="auto"/>
            <w:vAlign w:val="center"/>
            <w:hideMark/>
          </w:tcPr>
          <w:p w14:paraId="44BC6748" w14:textId="77777777" w:rsidR="008A058A" w:rsidRPr="00CC6DA4" w:rsidRDefault="008A058A" w:rsidP="00CC6DA4">
            <w:pPr>
              <w:spacing w:before="0" w:after="0" w:line="240" w:lineRule="auto"/>
              <w:ind w:firstLine="0"/>
              <w:jc w:val="right"/>
              <w:rPr>
                <w:rFonts w:eastAsia="Times New Roman"/>
                <w:color w:val="000000" w:themeColor="text1"/>
                <w:sz w:val="20"/>
                <w:szCs w:val="20"/>
              </w:rPr>
            </w:pPr>
          </w:p>
        </w:tc>
        <w:tc>
          <w:tcPr>
            <w:tcW w:w="0" w:type="auto"/>
            <w:tcBorders>
              <w:top w:val="nil"/>
              <w:left w:val="nil"/>
              <w:bottom w:val="nil"/>
              <w:right w:val="nil"/>
            </w:tcBorders>
            <w:shd w:val="clear" w:color="auto" w:fill="auto"/>
            <w:noWrap/>
            <w:vAlign w:val="center"/>
            <w:hideMark/>
          </w:tcPr>
          <w:p w14:paraId="0AD2FC57" w14:textId="77777777" w:rsidR="008A058A" w:rsidRPr="00CC6DA4" w:rsidRDefault="008A058A" w:rsidP="00CC6DA4">
            <w:pPr>
              <w:spacing w:before="0" w:after="0" w:line="240" w:lineRule="auto"/>
              <w:ind w:firstLine="0"/>
              <w:jc w:val="center"/>
              <w:rPr>
                <w:rFonts w:eastAsia="Times New Roman"/>
                <w:color w:val="000000" w:themeColor="text1"/>
                <w:sz w:val="20"/>
                <w:szCs w:val="20"/>
              </w:rPr>
            </w:pPr>
          </w:p>
        </w:tc>
        <w:tc>
          <w:tcPr>
            <w:tcW w:w="0" w:type="auto"/>
            <w:tcBorders>
              <w:top w:val="nil"/>
              <w:left w:val="nil"/>
              <w:bottom w:val="nil"/>
              <w:right w:val="nil"/>
            </w:tcBorders>
            <w:shd w:val="clear" w:color="auto" w:fill="auto"/>
            <w:noWrap/>
            <w:vAlign w:val="center"/>
            <w:hideMark/>
          </w:tcPr>
          <w:p w14:paraId="5B275E82" w14:textId="77777777" w:rsidR="008A058A" w:rsidRPr="00CC6DA4" w:rsidRDefault="008A058A" w:rsidP="00CC6DA4">
            <w:pPr>
              <w:spacing w:before="0" w:after="0" w:line="240" w:lineRule="auto"/>
              <w:ind w:firstLine="0"/>
              <w:jc w:val="center"/>
              <w:rPr>
                <w:rFonts w:eastAsia="Times New Roman"/>
                <w:color w:val="000000" w:themeColor="text1"/>
                <w:sz w:val="20"/>
                <w:szCs w:val="20"/>
              </w:rPr>
            </w:pPr>
          </w:p>
        </w:tc>
        <w:tc>
          <w:tcPr>
            <w:tcW w:w="0" w:type="auto"/>
            <w:tcBorders>
              <w:top w:val="nil"/>
              <w:left w:val="nil"/>
              <w:bottom w:val="nil"/>
              <w:right w:val="nil"/>
            </w:tcBorders>
            <w:shd w:val="clear" w:color="auto" w:fill="auto"/>
            <w:noWrap/>
            <w:vAlign w:val="center"/>
            <w:hideMark/>
          </w:tcPr>
          <w:p w14:paraId="10619751" w14:textId="77777777" w:rsidR="008A058A" w:rsidRPr="00CC6DA4" w:rsidRDefault="008A058A" w:rsidP="00CC6DA4">
            <w:pPr>
              <w:spacing w:before="0" w:after="0" w:line="240" w:lineRule="auto"/>
              <w:ind w:firstLine="0"/>
              <w:jc w:val="center"/>
              <w:rPr>
                <w:rFonts w:eastAsia="Times New Roman"/>
                <w:color w:val="000000" w:themeColor="text1"/>
                <w:sz w:val="20"/>
                <w:szCs w:val="20"/>
              </w:rPr>
            </w:pPr>
          </w:p>
        </w:tc>
        <w:tc>
          <w:tcPr>
            <w:tcW w:w="0" w:type="auto"/>
            <w:tcBorders>
              <w:top w:val="nil"/>
              <w:left w:val="nil"/>
              <w:bottom w:val="nil"/>
              <w:right w:val="nil"/>
            </w:tcBorders>
            <w:shd w:val="clear" w:color="auto" w:fill="auto"/>
            <w:noWrap/>
            <w:vAlign w:val="center"/>
            <w:hideMark/>
          </w:tcPr>
          <w:p w14:paraId="0AF6BC18" w14:textId="77777777" w:rsidR="008A058A" w:rsidRPr="00CC6DA4" w:rsidRDefault="008A058A" w:rsidP="00CC6DA4">
            <w:pPr>
              <w:spacing w:before="0" w:after="0" w:line="240" w:lineRule="auto"/>
              <w:ind w:firstLine="0"/>
              <w:jc w:val="center"/>
              <w:rPr>
                <w:rFonts w:eastAsia="Times New Roman"/>
                <w:color w:val="000000" w:themeColor="text1"/>
                <w:sz w:val="20"/>
                <w:szCs w:val="20"/>
              </w:rPr>
            </w:pPr>
          </w:p>
        </w:tc>
        <w:tc>
          <w:tcPr>
            <w:tcW w:w="0" w:type="auto"/>
            <w:tcBorders>
              <w:top w:val="nil"/>
              <w:left w:val="nil"/>
              <w:bottom w:val="nil"/>
              <w:right w:val="nil"/>
            </w:tcBorders>
            <w:shd w:val="clear" w:color="auto" w:fill="auto"/>
            <w:noWrap/>
            <w:vAlign w:val="center"/>
            <w:hideMark/>
          </w:tcPr>
          <w:p w14:paraId="369AAB01" w14:textId="77777777" w:rsidR="008A058A" w:rsidRPr="00CC6DA4" w:rsidRDefault="008A058A" w:rsidP="00CC6DA4">
            <w:pPr>
              <w:spacing w:before="0" w:after="0" w:line="240" w:lineRule="auto"/>
              <w:ind w:firstLine="0"/>
              <w:jc w:val="right"/>
              <w:rPr>
                <w:rFonts w:eastAsia="Times New Roman"/>
                <w:color w:val="000000" w:themeColor="text1"/>
                <w:sz w:val="20"/>
                <w:szCs w:val="20"/>
              </w:rPr>
            </w:pPr>
          </w:p>
        </w:tc>
      </w:tr>
    </w:tbl>
    <w:p w14:paraId="7DEAC8AF" w14:textId="77777777" w:rsidR="008A058A" w:rsidRPr="008A058A" w:rsidRDefault="008A058A" w:rsidP="008A058A">
      <w:pPr>
        <w:rPr>
          <w:rFonts w:eastAsia="Times New Roman" w:cs="Sylfaen"/>
          <w:color w:val="000000" w:themeColor="text1"/>
          <w:szCs w:val="24"/>
          <w:lang w:val="hy-AM"/>
        </w:rPr>
      </w:pPr>
      <w:r w:rsidRPr="008A058A">
        <w:rPr>
          <w:color w:val="000000" w:themeColor="text1"/>
          <w:szCs w:val="24"/>
          <w:lang w:val="hy-AM"/>
        </w:rPr>
        <w:fldChar w:fldCharType="end"/>
      </w:r>
      <w:r w:rsidRPr="008A058A">
        <w:rPr>
          <w:rFonts w:eastAsia="Times New Roman" w:cs="Sylfaen"/>
          <w:color w:val="000000" w:themeColor="text1"/>
          <w:szCs w:val="24"/>
          <w:lang w:val="hy-AM"/>
        </w:rPr>
        <w:t xml:space="preserve">Հարկային մուտքերի ձևավորման գործընթացներն իրականացվում են ինքնաշխատ համակարգերով։ Տնտեսվարողների կողմից հաշվետվությունները, ինչպես նաև մաքսային հայտարարագրերը ներկայացվում են Էլեկտրոնային ավտոմատացված համակարգերի միջոցով («Հարկատու-3», «Trade Gov»): </w:t>
      </w:r>
    </w:p>
    <w:p w14:paraId="3321E779" w14:textId="77777777" w:rsidR="008A058A" w:rsidRPr="008A058A" w:rsidRDefault="008A058A" w:rsidP="008A058A">
      <w:pPr>
        <w:tabs>
          <w:tab w:val="left" w:pos="8364"/>
        </w:tabs>
        <w:rPr>
          <w:rFonts w:eastAsia="Times New Roman" w:cs="Sylfaen"/>
          <w:color w:val="000000" w:themeColor="text1"/>
          <w:szCs w:val="24"/>
          <w:lang w:val="hy-AM"/>
        </w:rPr>
      </w:pPr>
      <w:r w:rsidRPr="008A058A">
        <w:rPr>
          <w:rFonts w:eastAsia="Times New Roman" w:cs="Sylfaen"/>
          <w:color w:val="000000" w:themeColor="text1"/>
          <w:szCs w:val="24"/>
          <w:lang w:val="hy-AM"/>
        </w:rPr>
        <w:t>Հաշվեքննիչ պալատի կողմից նշված էլեկտրոնային համակարգերը հաշվեքննության չեն ենթարկվել:</w:t>
      </w:r>
    </w:p>
    <w:p w14:paraId="36B9D736" w14:textId="35BF6933" w:rsidR="005D101C" w:rsidRPr="000F123F" w:rsidRDefault="005D101C" w:rsidP="005D101C">
      <w:pPr>
        <w:tabs>
          <w:tab w:val="left" w:pos="1396"/>
        </w:tabs>
        <w:rPr>
          <w:rFonts w:ascii="Cambria Math" w:eastAsia="Times New Roman" w:hAnsi="Cambria Math" w:cs="Sylfaen"/>
          <w:szCs w:val="24"/>
          <w:lang w:val="hy-AM"/>
        </w:rPr>
        <w:sectPr w:rsidR="005D101C" w:rsidRPr="000F123F" w:rsidSect="00EC274F">
          <w:pgSz w:w="15840" w:h="12240" w:orient="landscape"/>
          <w:pgMar w:top="709" w:right="1440" w:bottom="1325" w:left="1440" w:header="720" w:footer="720" w:gutter="0"/>
          <w:cols w:space="720"/>
          <w:titlePg/>
          <w:docGrid w:linePitch="360"/>
        </w:sectPr>
      </w:pPr>
    </w:p>
    <w:p w14:paraId="12820CAF" w14:textId="77777777" w:rsidR="005D101C" w:rsidRPr="000F123F" w:rsidRDefault="005D101C" w:rsidP="005D101C">
      <w:pPr>
        <w:jc w:val="center"/>
        <w:rPr>
          <w:lang w:val="hy-AM"/>
        </w:rPr>
      </w:pPr>
    </w:p>
    <w:p w14:paraId="222D55CA" w14:textId="3A2F79A5" w:rsidR="005D101C" w:rsidRPr="000F123F" w:rsidRDefault="005D101C" w:rsidP="005D101C">
      <w:pPr>
        <w:numPr>
          <w:ilvl w:val="0"/>
          <w:numId w:val="1"/>
        </w:numPr>
        <w:spacing w:before="0" w:line="240" w:lineRule="auto"/>
        <w:ind w:left="0" w:firstLine="0"/>
        <w:jc w:val="center"/>
        <w:outlineLvl w:val="0"/>
        <w:rPr>
          <w:b/>
          <w:color w:val="0070C0"/>
          <w:sz w:val="28"/>
          <w:szCs w:val="28"/>
          <w:lang w:val="hy-AM"/>
        </w:rPr>
      </w:pPr>
      <w:r w:rsidRPr="000F123F">
        <w:rPr>
          <w:b/>
          <w:color w:val="0070C0"/>
          <w:sz w:val="28"/>
          <w:szCs w:val="28"/>
          <w:lang w:val="hy-AM"/>
        </w:rPr>
        <w:t xml:space="preserve"> </w:t>
      </w:r>
      <w:bookmarkStart w:id="17" w:name="_Toc164676865"/>
      <w:r w:rsidRPr="000F123F">
        <w:rPr>
          <w:b/>
          <w:color w:val="0070C0"/>
          <w:sz w:val="28"/>
          <w:szCs w:val="28"/>
          <w:lang w:val="hy-AM"/>
        </w:rPr>
        <w:t>ԱՆՀԱՄԱՊԱՏԱՍԽԱՆՈՒԹՅՈՒՆՆԵՐԻ ՎԵՐԱԲԵՐՅԱԼ ԳՐԱՌՈՒՄՆԵՐ</w:t>
      </w:r>
      <w:bookmarkEnd w:id="17"/>
    </w:p>
    <w:bookmarkEnd w:id="13"/>
    <w:bookmarkEnd w:id="14"/>
    <w:bookmarkEnd w:id="15"/>
    <w:bookmarkEnd w:id="16"/>
    <w:p w14:paraId="4040F369" w14:textId="77777777" w:rsidR="005D101C" w:rsidRPr="000F123F" w:rsidRDefault="005D101C" w:rsidP="005D101C">
      <w:pPr>
        <w:spacing w:before="0" w:after="0"/>
        <w:jc w:val="center"/>
        <w:rPr>
          <w:rFonts w:eastAsia="Calibri"/>
          <w:b/>
          <w:i/>
          <w:szCs w:val="24"/>
          <w:lang w:val="hy-AM"/>
        </w:rPr>
      </w:pPr>
    </w:p>
    <w:p w14:paraId="16C6D27F" w14:textId="77777777" w:rsidR="008E7C43" w:rsidRPr="008E7C43" w:rsidRDefault="008E7C43" w:rsidP="008E7C43">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rPr>
      </w:pPr>
      <w:bookmarkStart w:id="18" w:name="_Toc164676866"/>
      <w:bookmarkStart w:id="19" w:name="_Toc148712959"/>
      <w:bookmarkStart w:id="20" w:name="_Toc77936194"/>
      <w:r w:rsidRPr="008E7C43">
        <w:rPr>
          <w:rFonts w:eastAsiaTheme="majorEastAsia" w:cstheme="majorBidi"/>
          <w:b/>
          <w:i/>
          <w:color w:val="000000" w:themeColor="text1"/>
          <w:sz w:val="28"/>
          <w:szCs w:val="28"/>
          <w:lang w:val="hy-AM"/>
        </w:rPr>
        <w:t>Արտաժամյա աշխատանքներ</w:t>
      </w:r>
      <w:bookmarkEnd w:id="18"/>
    </w:p>
    <w:p w14:paraId="64861353" w14:textId="77777777" w:rsidR="008E7C43" w:rsidRPr="008E7C43" w:rsidRDefault="008E7C43" w:rsidP="008E7C43">
      <w:pPr>
        <w:spacing w:after="0"/>
        <w:ind w:left="720" w:firstLine="0"/>
        <w:rPr>
          <w:b/>
          <w:i/>
          <w:color w:val="000000" w:themeColor="text1"/>
          <w:szCs w:val="24"/>
          <w:lang w:val="hy-AM"/>
        </w:rPr>
      </w:pPr>
    </w:p>
    <w:p w14:paraId="06A0320B" w14:textId="77777777" w:rsidR="008E7C43" w:rsidRPr="00C77F55" w:rsidRDefault="008E7C43" w:rsidP="003D379F">
      <w:pPr>
        <w:spacing w:before="0" w:after="0"/>
        <w:ind w:firstLine="709"/>
        <w:rPr>
          <w:b/>
          <w:i/>
          <w:color w:val="000000" w:themeColor="text1"/>
          <w:szCs w:val="24"/>
          <w:lang w:val="hy-AM"/>
        </w:rPr>
      </w:pPr>
      <w:r w:rsidRPr="008E7C43">
        <w:rPr>
          <w:rFonts w:cs="Sylfaen"/>
          <w:b/>
          <w:i/>
          <w:color w:val="000000" w:themeColor="text1"/>
          <w:szCs w:val="24"/>
          <w:lang w:val="hy-AM"/>
        </w:rPr>
        <w:t xml:space="preserve">Առկա է անհամապատասխանություն ՀՀ աշխատանքային օրենսգրքի 184-րդ </w:t>
      </w:r>
      <w:r w:rsidRPr="008E7C43">
        <w:rPr>
          <w:b/>
          <w:i/>
          <w:color w:val="000000" w:themeColor="text1"/>
          <w:szCs w:val="24"/>
          <w:lang w:val="hy-AM"/>
        </w:rPr>
        <w:t>հոդվածի 1-ին մասով սահմանված պահանջների նկատմամբ, այն է՝ գիշերային աշխատանքի յուրաքանչյուր ժամի համար ժամային դրույքաչափից բացի, վճարվում է հավելում ոչ պակաս, քան ժամային դրույքաչափի 30 տոկոսի չափով:</w:t>
      </w:r>
    </w:p>
    <w:p w14:paraId="4AAC9022" w14:textId="77777777" w:rsidR="008E7C43" w:rsidRPr="008E7C43" w:rsidRDefault="008E7C43" w:rsidP="003D379F">
      <w:pPr>
        <w:spacing w:before="0" w:after="0"/>
        <w:ind w:firstLine="709"/>
        <w:rPr>
          <w:rFonts w:cs="Sylfaen"/>
          <w:b/>
          <w:i/>
          <w:color w:val="000000" w:themeColor="text1"/>
          <w:szCs w:val="24"/>
          <w:lang w:val="hy-AM"/>
        </w:rPr>
      </w:pPr>
      <w:r w:rsidRPr="008E7C43">
        <w:rPr>
          <w:rFonts w:cs="Sylfaen"/>
          <w:b/>
          <w:i/>
          <w:color w:val="000000" w:themeColor="text1"/>
          <w:szCs w:val="24"/>
          <w:lang w:val="hy-AM"/>
        </w:rPr>
        <w:t>Առկա է անհամապատասխանություն «Պետական պաշտոններ և պետական ծառայության պաշտոններ զբաղեցնող անձանց վարձատրության մասին» ՀՀ օրենքի 8-րդ հոդվածի 2-րդ մասով սահմանված պահանջների նկատմամբ:</w:t>
      </w:r>
    </w:p>
    <w:p w14:paraId="592254C6" w14:textId="77777777" w:rsidR="008E7C43" w:rsidRPr="008E7C43" w:rsidRDefault="008E7C43" w:rsidP="003D379F">
      <w:pPr>
        <w:spacing w:before="0" w:after="0"/>
        <w:ind w:firstLine="709"/>
        <w:rPr>
          <w:color w:val="000000" w:themeColor="text1"/>
          <w:szCs w:val="24"/>
          <w:lang w:val="hy-AM"/>
        </w:rPr>
      </w:pPr>
      <w:r w:rsidRPr="008E7C43">
        <w:rPr>
          <w:color w:val="000000" w:themeColor="text1"/>
          <w:szCs w:val="24"/>
          <w:lang w:val="hy-AM"/>
        </w:rPr>
        <w:t xml:space="preserve">ՀՀ աշխատանքային օրենսգրքի 139-րդ հոդվածի 4-րդ մասի համաձայն՝ «Առանձին կատեգորիայի աշխատողների (անընդմեջ հերթապահության ռեժիմով աշխատող առողջապահական կազմակերպություններ, հոգաբարձության (խնամակալության) կազմակերպություններ, մանկական դաստիարակչական կազմակերպություններ, էներգամատակարարման, գազամատակարարման, ջերմամատակարարման մասնագիտացված կազմակերպություններ, կապի և վթարների հետևանքների վերացման մասնագիտացված ծառայություններ և այլն) աշխատաժամանակի տևողությունը կարող է կազմել օրական 24 ժամ…»: Նման աշխատանքների ցանկը սահմանված է Հայաստանի Հանրապետության կառավարության՝ 2005 թվականի օգոստոսի </w:t>
      </w:r>
      <w:r w:rsidRPr="008E7C43">
        <w:rPr>
          <w:rFonts w:cs="Sylfaen"/>
          <w:color w:val="000000" w:themeColor="text1"/>
          <w:szCs w:val="24"/>
          <w:lang w:val="hy-AM"/>
        </w:rPr>
        <w:t xml:space="preserve">11-ի թիվ 1223-Ն որոշմամբ, որի 39-րդ կետով թվարկված են </w:t>
      </w:r>
      <w:r w:rsidRPr="008E7C43">
        <w:rPr>
          <w:color w:val="000000" w:themeColor="text1"/>
          <w:szCs w:val="24"/>
          <w:lang w:val="hy-AM"/>
        </w:rPr>
        <w:t xml:space="preserve">ՀՀ պետական եկամուտների կոմիտեում հերթափոխության ռեժիմով կատարվող աշխատանքները: </w:t>
      </w:r>
    </w:p>
    <w:p w14:paraId="151B0367" w14:textId="41ACBE6B" w:rsidR="008E7C43" w:rsidRPr="008E7C43" w:rsidRDefault="008E7C43" w:rsidP="003D379F">
      <w:pPr>
        <w:shd w:val="clear" w:color="auto" w:fill="FFFFFF"/>
        <w:spacing w:before="0" w:after="0"/>
        <w:ind w:firstLine="709"/>
        <w:rPr>
          <w:rFonts w:eastAsiaTheme="minorHAnsi" w:cs="Sylfaen"/>
          <w:color w:val="000000" w:themeColor="text1"/>
          <w:szCs w:val="24"/>
          <w:lang w:val="hy-AM"/>
        </w:rPr>
      </w:pPr>
      <w:r w:rsidRPr="008E7C43">
        <w:rPr>
          <w:rFonts w:eastAsiaTheme="minorHAnsi" w:cs="Sylfaen"/>
          <w:color w:val="000000" w:themeColor="text1"/>
          <w:szCs w:val="24"/>
          <w:lang w:val="hy-AM"/>
        </w:rPr>
        <w:t>«Պետական պաշտոններ և պետական ծառայության պաշտոններ զբաղեցնող անձանց վարձատրության մասին» ՀՀ օրենքի 8-րդ հոդվածի 2-րդ մասի համաձայն՝ արտաժամյա, գիշերային ժամերին, հանգստյան, տոնական օրերին աշխատելու համար</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պետական</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պաշտոն</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և</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պետական</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ծառայության</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պաշտոն</w:t>
      </w:r>
      <w:r w:rsidRPr="008E7C43">
        <w:rPr>
          <w:rFonts w:ascii="Calibri" w:eastAsiaTheme="minorHAnsi" w:hAnsi="Calibri" w:cs="Calibri"/>
          <w:color w:val="000000" w:themeColor="text1"/>
          <w:szCs w:val="24"/>
          <w:lang w:val="hy-AM"/>
        </w:rPr>
        <w:t> </w:t>
      </w:r>
      <w:r w:rsidRPr="008E7C43">
        <w:rPr>
          <w:rFonts w:eastAsiaTheme="minorHAnsi" w:cs="Sylfaen"/>
          <w:color w:val="000000" w:themeColor="text1"/>
          <w:szCs w:val="24"/>
          <w:lang w:val="hy-AM"/>
        </w:rPr>
        <w:t>զբաղեցնող</w:t>
      </w:r>
      <w:r w:rsidR="00B11B30">
        <w:rPr>
          <w:rFonts w:eastAsiaTheme="minorHAnsi" w:cs="Sylfaen"/>
          <w:color w:val="000000" w:themeColor="text1"/>
          <w:szCs w:val="24"/>
          <w:lang w:val="hy-AM"/>
        </w:rPr>
        <w:t xml:space="preserve"> </w:t>
      </w:r>
      <w:r w:rsidRPr="008E7C43">
        <w:rPr>
          <w:rFonts w:eastAsiaTheme="minorHAnsi" w:cs="Sylfaen"/>
          <w:color w:val="000000" w:themeColor="text1"/>
          <w:szCs w:val="24"/>
          <w:lang w:val="hy-AM"/>
        </w:rPr>
        <w:t>անձանց տրվում է հավելում Հայաստանի Հանրապետության աշխատանքային օրենսգրքով սահմանված նվազագույն չափերով:</w:t>
      </w:r>
    </w:p>
    <w:p w14:paraId="485E473B" w14:textId="4BE93AEE" w:rsidR="008E7C43" w:rsidRPr="008E7C43" w:rsidRDefault="008E7C43" w:rsidP="003D379F">
      <w:pPr>
        <w:spacing w:before="0" w:after="0"/>
        <w:ind w:firstLine="709"/>
        <w:rPr>
          <w:rFonts w:cs="Sylfaen"/>
          <w:color w:val="000000" w:themeColor="text1"/>
          <w:szCs w:val="24"/>
          <w:lang w:val="hy-AM"/>
        </w:rPr>
      </w:pPr>
      <w:r w:rsidRPr="008E7C43">
        <w:rPr>
          <w:rFonts w:cs="Sylfaen"/>
          <w:color w:val="000000" w:themeColor="text1"/>
          <w:szCs w:val="24"/>
          <w:lang w:val="hy-AM"/>
        </w:rPr>
        <w:t>ՀՀ պետական եկամուտների կոմիտեի կողմից տրամադրված տեղեկատվության համաձայն, ՊԵԿ-ում 2023 թվականի ընթացքում նշված աշխատանքներ</w:t>
      </w:r>
      <w:r w:rsidR="00B11B30">
        <w:rPr>
          <w:rFonts w:cs="Sylfaen"/>
          <w:color w:val="000000" w:themeColor="text1"/>
          <w:szCs w:val="24"/>
          <w:lang w:val="hy-AM"/>
        </w:rPr>
        <w:t>ն</w:t>
      </w:r>
      <w:r w:rsidRPr="008E7C43">
        <w:rPr>
          <w:rFonts w:cs="Sylfaen"/>
          <w:color w:val="000000" w:themeColor="text1"/>
          <w:szCs w:val="24"/>
          <w:lang w:val="hy-AM"/>
        </w:rPr>
        <w:t xml:space="preserve"> իրականացվել են միջին հաշվարկով 500 աշխատակիցների կողմից, որոնց համար  չի հաշվարկվել և չի վճարվել գիշերային աշխատանքի համար ՀՀ աշխատանքային օրենսգրքով սահմանված </w:t>
      </w:r>
      <w:r w:rsidRPr="008E7C43">
        <w:rPr>
          <w:rFonts w:cs="Sylfaen"/>
          <w:color w:val="000000" w:themeColor="text1"/>
          <w:szCs w:val="24"/>
          <w:lang w:val="hy-AM"/>
        </w:rPr>
        <w:lastRenderedPageBreak/>
        <w:t>հավելումները: Բացի նշված աշխատակիցներից</w:t>
      </w:r>
      <w:r w:rsidR="00B11B30">
        <w:rPr>
          <w:rFonts w:cs="Sylfaen"/>
          <w:color w:val="000000" w:themeColor="text1"/>
          <w:szCs w:val="24"/>
          <w:lang w:val="hy-AM"/>
        </w:rPr>
        <w:t>,</w:t>
      </w:r>
      <w:r w:rsidRPr="008E7C43">
        <w:rPr>
          <w:rFonts w:cs="Sylfaen"/>
          <w:color w:val="000000" w:themeColor="text1"/>
          <w:szCs w:val="24"/>
          <w:lang w:val="hy-AM"/>
        </w:rPr>
        <w:t xml:space="preserve"> ՊԵԿ-ի հաստիքացուցակով նախատեսված  անցագրային կետերի  161 հերթապահ աշխատակիցների համար նույնպես չի հաշվարկվել և չի վճարվել գիշերային աշխատանքի համար վերը նշված հավելումները:   </w:t>
      </w:r>
    </w:p>
    <w:p w14:paraId="63DF80D7" w14:textId="62BE7D15" w:rsidR="008E7C43" w:rsidRPr="00BF7D8F" w:rsidRDefault="008E7C43" w:rsidP="003D379F">
      <w:pPr>
        <w:spacing w:before="0" w:after="0"/>
        <w:ind w:firstLine="709"/>
        <w:rPr>
          <w:rFonts w:eastAsia="Times New Roman"/>
          <w:szCs w:val="24"/>
          <w:lang w:val="hy-AM"/>
        </w:rPr>
      </w:pPr>
      <w:r w:rsidRPr="00BF7D8F">
        <w:rPr>
          <w:rFonts w:eastAsia="Times New Roman"/>
          <w:szCs w:val="24"/>
          <w:lang w:val="hy-AM"/>
        </w:rPr>
        <w:t xml:space="preserve">Նույնաբովանդակ անհամապատասխանություն արձանագրվել է նաև ՊԵԿ 2022 թվականի պետական բյուջեի տարեկան կատարման հաշվեքննությամբ։ </w:t>
      </w:r>
      <w:r w:rsidRPr="00BF7D8F">
        <w:rPr>
          <w:rFonts w:cs="Sylfaen"/>
          <w:color w:val="000000" w:themeColor="text1"/>
          <w:szCs w:val="24"/>
          <w:lang w:val="hy-AM"/>
        </w:rPr>
        <w:t xml:space="preserve">ՊԵԿ-ի կողմից ներկայացված պարզաբանման համաձայն՝ </w:t>
      </w:r>
      <w:r w:rsidRPr="00BF7D8F">
        <w:rPr>
          <w:rFonts w:ascii="Courier New" w:hAnsi="Courier New" w:cs="Courier New"/>
          <w:color w:val="000000" w:themeColor="text1"/>
          <w:szCs w:val="24"/>
          <w:lang w:val="hy-AM"/>
        </w:rPr>
        <w:t>«</w:t>
      </w:r>
      <w:r w:rsidRPr="00BF7D8F">
        <w:rPr>
          <w:rFonts w:cs="Sylfaen"/>
          <w:color w:val="000000" w:themeColor="text1"/>
          <w:szCs w:val="24"/>
          <w:lang w:val="hy-AM"/>
        </w:rPr>
        <w:t>…</w:t>
      </w:r>
      <w:r w:rsidRPr="00BF7D8F">
        <w:rPr>
          <w:color w:val="000000" w:themeColor="text1"/>
          <w:szCs w:val="24"/>
          <w:lang w:val="hy-AM"/>
        </w:rPr>
        <w:t>նախաձեռնվել էր օրենսդրական համապատասխան փոփոխություններ կատարելու գործընթաց: ….. սակայն, 2022թ. հոկտեմբերի 4-ի սոցիալական նախարարական կոմիտեի նիստում քննարկվելու արդյունքում տրվել է բացասական դիրքորոշում այն հիմնավորմամբ, որ «Պետական եկամուտների կոմիտեի պարզաբանումները Հաշվեքննիչ պալատի եզրակացության մասին համարել ընդունելի», ուստի, Կոմիտեն ձեռնպահ է մնացել նախագիծը կրկին շրջանառելուց»:</w:t>
      </w:r>
      <w:r w:rsidRPr="00BF7D8F">
        <w:rPr>
          <w:rFonts w:eastAsia="Times New Roman"/>
          <w:szCs w:val="24"/>
          <w:lang w:val="hy-AM"/>
        </w:rPr>
        <w:t xml:space="preserve"> </w:t>
      </w:r>
    </w:p>
    <w:p w14:paraId="105EB337" w14:textId="77777777" w:rsidR="005D101C" w:rsidRDefault="005D101C" w:rsidP="005D101C">
      <w:pPr>
        <w:spacing w:before="0" w:after="0"/>
        <w:rPr>
          <w:rFonts w:eastAsia="Calibri"/>
          <w:b/>
          <w:i/>
          <w:szCs w:val="24"/>
          <w:lang w:val="hy-AM"/>
        </w:rPr>
      </w:pPr>
      <w:r w:rsidRPr="000F123F">
        <w:rPr>
          <w:rFonts w:eastAsia="Calibri"/>
          <w:b/>
          <w:i/>
          <w:szCs w:val="24"/>
          <w:lang w:val="hy-AM"/>
        </w:rPr>
        <w:t>Հաշվեքննության օբյեկտի արձագանքը</w:t>
      </w:r>
    </w:p>
    <w:p w14:paraId="1C0E092B" w14:textId="77777777" w:rsidR="00A90027" w:rsidRPr="00A90027" w:rsidRDefault="00A90027" w:rsidP="00A90027">
      <w:pPr>
        <w:spacing w:before="0" w:after="0" w:line="240" w:lineRule="auto"/>
        <w:ind w:firstLine="567"/>
        <w:rPr>
          <w:rFonts w:eastAsiaTheme="minorHAnsi" w:cstheme="minorBidi"/>
          <w:color w:val="000000" w:themeColor="text1"/>
          <w:szCs w:val="24"/>
          <w:lang w:val="hy-AM"/>
        </w:rPr>
      </w:pPr>
      <w:r w:rsidRPr="00A90027">
        <w:rPr>
          <w:rFonts w:eastAsiaTheme="minorHAnsi" w:cstheme="minorBidi"/>
          <w:szCs w:val="24"/>
          <w:lang w:val="hy-AM"/>
        </w:rPr>
        <w:t xml:space="preserve">Հաշվեքննողի կողմից ներկայացված մեկնաբանությունը, Կոմիտեի հարկային և մաքսային ծառայողներին հավելումներ չվճարելու կապակցությամբ, ընդունվել է ի գիտություն, իսկ ինչ վերաբերում է հարցի կարգավորված չլինելուն, ապա հայտնում ենք, որ ներկա պահին ևս մեկ անգամ միջոցներ են ձեռնարկվել իրականացնել </w:t>
      </w:r>
      <w:r w:rsidRPr="00A90027">
        <w:rPr>
          <w:rFonts w:eastAsiaTheme="minorHAnsi" w:cstheme="minorBidi"/>
          <w:color w:val="000000" w:themeColor="text1"/>
          <w:szCs w:val="24"/>
          <w:lang w:val="hy-AM"/>
        </w:rPr>
        <w:t>օրենսդրական համապատասխան փոփո</w:t>
      </w:r>
      <w:r w:rsidRPr="00A90027">
        <w:rPr>
          <w:rFonts w:eastAsiaTheme="minorHAnsi" w:cstheme="minorBidi"/>
          <w:color w:val="000000" w:themeColor="text1"/>
          <w:szCs w:val="24"/>
          <w:lang w:val="hy-AM"/>
        </w:rPr>
        <w:softHyphen/>
        <w:t xml:space="preserve">խություններ: Համապատասխան օրենսդրական նախագիծը </w:t>
      </w:r>
      <w:r w:rsidRPr="00A90027">
        <w:rPr>
          <w:rFonts w:eastAsia="Times New Roman"/>
          <w:szCs w:val="24"/>
          <w:lang w:val="hy-AM"/>
        </w:rPr>
        <w:t>15</w:t>
      </w:r>
      <w:r w:rsidRPr="00A90027">
        <w:rPr>
          <w:rFonts w:ascii="Cambria Math" w:eastAsia="Times New Roman" w:hAnsi="Cambria Math" w:cs="Cambria Math"/>
          <w:szCs w:val="24"/>
          <w:lang w:val="hy-AM"/>
        </w:rPr>
        <w:t>․</w:t>
      </w:r>
      <w:r w:rsidRPr="00A90027">
        <w:rPr>
          <w:rFonts w:eastAsia="Times New Roman"/>
          <w:szCs w:val="24"/>
          <w:lang w:val="hy-AM"/>
        </w:rPr>
        <w:t>02</w:t>
      </w:r>
      <w:r w:rsidRPr="00A90027">
        <w:rPr>
          <w:rFonts w:ascii="Cambria Math" w:eastAsia="Times New Roman" w:hAnsi="Cambria Math" w:cs="Cambria Math"/>
          <w:szCs w:val="24"/>
          <w:lang w:val="hy-AM"/>
        </w:rPr>
        <w:t>․</w:t>
      </w:r>
      <w:r w:rsidRPr="00A90027">
        <w:rPr>
          <w:rFonts w:eastAsia="Times New Roman"/>
          <w:szCs w:val="24"/>
          <w:lang w:val="hy-AM"/>
        </w:rPr>
        <w:t xml:space="preserve">2024 </w:t>
      </w:r>
      <w:r w:rsidRPr="00A90027">
        <w:rPr>
          <w:rFonts w:eastAsia="Times New Roman" w:cs="GHEA Grapalat"/>
          <w:szCs w:val="24"/>
          <w:lang w:val="hy-AM"/>
        </w:rPr>
        <w:t>թվականին</w:t>
      </w:r>
      <w:r w:rsidRPr="00A90027">
        <w:rPr>
          <w:rFonts w:eastAsia="Times New Roman"/>
          <w:szCs w:val="24"/>
          <w:lang w:val="hy-AM"/>
        </w:rPr>
        <w:t xml:space="preserve"> N 01/11-1/10019-2024 </w:t>
      </w:r>
      <w:r w:rsidRPr="00A90027">
        <w:rPr>
          <w:rFonts w:eastAsia="Times New Roman" w:cs="GHEA Grapalat"/>
          <w:szCs w:val="24"/>
          <w:lang w:val="hy-AM"/>
        </w:rPr>
        <w:t>գրու</w:t>
      </w:r>
      <w:r w:rsidRPr="00A90027">
        <w:rPr>
          <w:rFonts w:eastAsia="Times New Roman"/>
          <w:szCs w:val="24"/>
          <w:lang w:val="hy-AM"/>
        </w:rPr>
        <w:softHyphen/>
      </w:r>
      <w:r w:rsidRPr="00A90027">
        <w:rPr>
          <w:rFonts w:eastAsia="Times New Roman" w:cs="GHEA Grapalat"/>
          <w:szCs w:val="24"/>
          <w:lang w:val="hy-AM"/>
        </w:rPr>
        <w:t>թյամբ</w:t>
      </w:r>
      <w:r w:rsidRPr="00A90027">
        <w:rPr>
          <w:rFonts w:eastAsiaTheme="minorHAnsi" w:cstheme="minorBidi"/>
          <w:color w:val="000000" w:themeColor="text1"/>
          <w:szCs w:val="24"/>
          <w:lang w:val="hy-AM"/>
        </w:rPr>
        <w:t xml:space="preserve"> ներկայացվել է ՀՀ վարչապետի աշխատակազմ և վերջինիս առա</w:t>
      </w:r>
      <w:r w:rsidRPr="00A90027">
        <w:rPr>
          <w:rFonts w:eastAsiaTheme="minorHAnsi" w:cstheme="minorBidi"/>
          <w:color w:val="000000" w:themeColor="text1"/>
          <w:szCs w:val="24"/>
          <w:lang w:val="hy-AM"/>
        </w:rPr>
        <w:softHyphen/>
        <w:t>ջար</w:t>
      </w:r>
      <w:r w:rsidRPr="00A90027">
        <w:rPr>
          <w:rFonts w:eastAsiaTheme="minorHAnsi" w:cstheme="minorBidi"/>
          <w:color w:val="000000" w:themeColor="text1"/>
          <w:szCs w:val="24"/>
          <w:lang w:val="hy-AM"/>
        </w:rPr>
        <w:softHyphen/>
        <w:t>կությամբ այն նախատեսվում է քննարկել ԱԺ համապատասխան հանձնաժողովի հետ:</w:t>
      </w:r>
    </w:p>
    <w:p w14:paraId="61827556" w14:textId="77777777" w:rsidR="005D101C" w:rsidRDefault="005D101C" w:rsidP="005D101C">
      <w:pPr>
        <w:spacing w:after="0"/>
        <w:rPr>
          <w:rFonts w:eastAsia="Calibri"/>
          <w:b/>
          <w:i/>
          <w:szCs w:val="24"/>
          <w:lang w:val="hy-AM"/>
        </w:rPr>
      </w:pPr>
      <w:r w:rsidRPr="000F123F">
        <w:rPr>
          <w:rFonts w:eastAsia="Calibri"/>
          <w:b/>
          <w:i/>
          <w:szCs w:val="24"/>
          <w:lang w:val="hy-AM"/>
        </w:rPr>
        <w:t>Հաշվեքննողների մեկնաբանությունը</w:t>
      </w:r>
    </w:p>
    <w:p w14:paraId="64DC3F5A" w14:textId="77777777" w:rsidR="00BF7D8F" w:rsidRPr="00BF7D8F" w:rsidRDefault="00BF7D8F" w:rsidP="00BF7D8F">
      <w:pPr>
        <w:spacing w:before="0" w:after="0"/>
        <w:ind w:firstLine="709"/>
        <w:rPr>
          <w:color w:val="000000" w:themeColor="text1"/>
          <w:szCs w:val="24"/>
          <w:lang w:val="hy-AM"/>
        </w:rPr>
      </w:pPr>
      <w:r w:rsidRPr="00BF7D8F">
        <w:rPr>
          <w:rFonts w:eastAsia="Times New Roman"/>
          <w:szCs w:val="24"/>
          <w:lang w:val="hy-AM"/>
        </w:rPr>
        <w:t xml:space="preserve">Հաշվեքննության օբյեկտի վերոգրյալ արձագանքն ընդունվել է ի գիտություն:  </w:t>
      </w:r>
    </w:p>
    <w:p w14:paraId="70775B19" w14:textId="77777777" w:rsidR="00540025" w:rsidRDefault="00540025" w:rsidP="005D101C">
      <w:pPr>
        <w:spacing w:after="0"/>
        <w:rPr>
          <w:rFonts w:eastAsia="Calibri"/>
          <w:b/>
          <w:i/>
          <w:szCs w:val="24"/>
          <w:lang w:val="hy-AM"/>
        </w:rPr>
      </w:pPr>
    </w:p>
    <w:p w14:paraId="2DEED481" w14:textId="77777777" w:rsidR="008E7C43" w:rsidRPr="008E7C43" w:rsidRDefault="008E7C43" w:rsidP="008E7C43">
      <w:pPr>
        <w:spacing w:after="0"/>
        <w:ind w:firstLine="720"/>
        <w:rPr>
          <w:rFonts w:cs="Sylfaen"/>
          <w:color w:val="000000"/>
          <w:szCs w:val="24"/>
          <w:lang w:val="hy-AM"/>
        </w:rPr>
      </w:pPr>
    </w:p>
    <w:p w14:paraId="3E5B2D9C" w14:textId="77777777" w:rsidR="008E7C43" w:rsidRPr="008E7C43" w:rsidRDefault="008E7C43" w:rsidP="008E7C43">
      <w:pPr>
        <w:keepNext/>
        <w:keepLines/>
        <w:numPr>
          <w:ilvl w:val="0"/>
          <w:numId w:val="2"/>
        </w:numPr>
        <w:spacing w:before="40" w:after="0" w:line="259" w:lineRule="auto"/>
        <w:ind w:left="644"/>
        <w:outlineLvl w:val="1"/>
        <w:rPr>
          <w:rFonts w:eastAsiaTheme="majorEastAsia" w:cstheme="majorBidi"/>
          <w:b/>
          <w:i/>
          <w:color w:val="000000" w:themeColor="text1"/>
          <w:sz w:val="28"/>
          <w:szCs w:val="28"/>
          <w:lang w:val="hy-AM"/>
        </w:rPr>
      </w:pPr>
      <w:bookmarkStart w:id="21" w:name="_Toc164676867"/>
      <w:r w:rsidRPr="008E7C43">
        <w:rPr>
          <w:rFonts w:eastAsiaTheme="majorEastAsia" w:cstheme="majorBidi"/>
          <w:b/>
          <w:i/>
          <w:color w:val="000000" w:themeColor="text1"/>
          <w:sz w:val="28"/>
          <w:szCs w:val="28"/>
          <w:lang w:val="hy-AM"/>
        </w:rPr>
        <w:t>1023-31001 «ՊԵԿ-ի տեխնիկական հագեցվածության բարելավում» միջոցառման  512900 «Այլ մեքենաներ և սարքավորումներ» տնտեսագիտական դասակարգման հոդվածով կատարված ծախսեր</w:t>
      </w:r>
      <w:bookmarkEnd w:id="21"/>
    </w:p>
    <w:p w14:paraId="4AF17DDB" w14:textId="77777777" w:rsidR="008E7C43" w:rsidRPr="008E7C43" w:rsidRDefault="008E7C43" w:rsidP="008E7C43">
      <w:pPr>
        <w:spacing w:before="0" w:after="160"/>
        <w:ind w:firstLine="440"/>
        <w:rPr>
          <w:rFonts w:cs="Sylfaen"/>
          <w:color w:val="000000"/>
          <w:szCs w:val="24"/>
          <w:highlight w:val="yellow"/>
          <w:lang w:val="hy-AM"/>
        </w:rPr>
      </w:pPr>
    </w:p>
    <w:p w14:paraId="2D761FA3" w14:textId="77777777" w:rsidR="005A125B" w:rsidRDefault="00D04C46" w:rsidP="003D379F">
      <w:pPr>
        <w:spacing w:before="0" w:after="0"/>
        <w:ind w:firstLine="720"/>
        <w:rPr>
          <w:rFonts w:cs="Sylfaen"/>
          <w:szCs w:val="24"/>
          <w:lang w:val="hy-AM"/>
        </w:rPr>
      </w:pPr>
      <w:r w:rsidRPr="008E7C43">
        <w:rPr>
          <w:rFonts w:cs="Sylfaen"/>
          <w:b/>
          <w:i/>
          <w:color w:val="000000" w:themeColor="text1"/>
          <w:szCs w:val="24"/>
          <w:lang w:val="hy-AM"/>
        </w:rPr>
        <w:lastRenderedPageBreak/>
        <w:t>Առկա է անհամապատախանություն  Ֆինանսների և Էկոնոմիկայի նախարարի </w:t>
      </w:r>
      <w:r w:rsidRPr="008E7C43">
        <w:rPr>
          <w:rFonts w:cs="Sylfaen"/>
          <w:b/>
          <w:bCs/>
          <w:i/>
          <w:color w:val="000000" w:themeColor="text1"/>
          <w:szCs w:val="24"/>
          <w:lang w:val="hy-AM"/>
        </w:rPr>
        <w:t>Հայաստանի Հանրապետության բյուջետային ու հանրային հատվածի հաշվապահական հաշվառման դասակարգումները և դրանց կիրառման ցուցումները հաստատելու մասին 2007 թվականի հունվարի 9-ի թիվ 5-Ն հրամ</w:t>
      </w:r>
      <w:r w:rsidR="00C77F55">
        <w:rPr>
          <w:rFonts w:cs="Sylfaen"/>
          <w:b/>
          <w:bCs/>
          <w:i/>
          <w:color w:val="000000" w:themeColor="text1"/>
          <w:szCs w:val="24"/>
          <w:lang w:val="hy-AM"/>
        </w:rPr>
        <w:t>անի</w:t>
      </w:r>
      <w:r w:rsidRPr="008E7C43">
        <w:rPr>
          <w:rFonts w:cs="Sylfaen"/>
          <w:b/>
          <w:bCs/>
          <w:i/>
          <w:color w:val="000000" w:themeColor="text1"/>
          <w:szCs w:val="24"/>
          <w:lang w:val="hy-AM"/>
        </w:rPr>
        <w:t xml:space="preserve"> </w:t>
      </w:r>
      <w:r w:rsidR="00C77F55" w:rsidRPr="00C77F55">
        <w:rPr>
          <w:rFonts w:cs="Sylfaen"/>
          <w:b/>
          <w:bCs/>
          <w:i/>
          <w:color w:val="000000" w:themeColor="text1"/>
          <w:szCs w:val="24"/>
          <w:lang w:val="hy-AM"/>
        </w:rPr>
        <w:t xml:space="preserve">№ 16 հավելվածով </w:t>
      </w:r>
      <w:r w:rsidRPr="008E7C43">
        <w:rPr>
          <w:rFonts w:cs="Sylfaen"/>
          <w:b/>
          <w:bCs/>
          <w:i/>
          <w:color w:val="000000" w:themeColor="text1"/>
          <w:szCs w:val="24"/>
          <w:lang w:val="hy-AM"/>
        </w:rPr>
        <w:t>սահմանված պահանջների նկատմամբ:</w:t>
      </w:r>
      <w:r w:rsidRPr="008E7C43">
        <w:rPr>
          <w:rFonts w:cs="Sylfaen"/>
          <w:szCs w:val="24"/>
          <w:lang w:val="hy-AM"/>
        </w:rPr>
        <w:t xml:space="preserve"> </w:t>
      </w:r>
    </w:p>
    <w:p w14:paraId="27A88B54" w14:textId="77777777" w:rsidR="00D04C46" w:rsidRPr="008E7C43" w:rsidRDefault="005A125B" w:rsidP="003D379F">
      <w:pPr>
        <w:spacing w:before="0" w:after="0"/>
        <w:ind w:firstLine="720"/>
        <w:rPr>
          <w:rFonts w:cs="Sylfaen"/>
          <w:szCs w:val="24"/>
          <w:lang w:val="hy-AM"/>
        </w:rPr>
      </w:pPr>
      <w:r w:rsidRPr="005A125B">
        <w:rPr>
          <w:rFonts w:cs="Sylfaen"/>
          <w:szCs w:val="24"/>
          <w:lang w:val="hy-AM"/>
        </w:rPr>
        <w:t>Ռ</w:t>
      </w:r>
      <w:r w:rsidRPr="008E7C43">
        <w:rPr>
          <w:rFonts w:cs="Sylfaen"/>
          <w:szCs w:val="24"/>
          <w:lang w:val="hy-AM"/>
        </w:rPr>
        <w:t>ենտգենյան զննող սարքավորումների տեխնիկական սպասարկման ծառայությունների ձեռքբերման ծախսերը  2023 թվականի ընթացքում կատարվել են 512900 Այլ մեքենաներ և սարքավորումներ տնտեսագիտական դասակարգման հոդվածով՝ 425200 Ընթացիկ նորոգում և պահպանում տնտեսագիտական դասակարգման հոդվածի փոխարեն:</w:t>
      </w:r>
    </w:p>
    <w:p w14:paraId="07F5EA90" w14:textId="77777777" w:rsidR="008E7C43" w:rsidRPr="008E7C43" w:rsidRDefault="008E7C43" w:rsidP="003D379F">
      <w:pPr>
        <w:spacing w:before="0" w:after="0"/>
        <w:ind w:firstLine="720"/>
        <w:rPr>
          <w:rFonts w:cs="Sylfaen"/>
          <w:szCs w:val="24"/>
          <w:lang w:val="hy-AM"/>
        </w:rPr>
      </w:pPr>
      <w:r w:rsidRPr="008E7C43">
        <w:rPr>
          <w:rFonts w:cs="Sylfaen"/>
          <w:szCs w:val="24"/>
          <w:lang w:val="hy-AM"/>
        </w:rPr>
        <w:t xml:space="preserve">Հաշվետու ժամանակաշրջանում </w:t>
      </w:r>
      <w:r w:rsidRPr="008E7C43">
        <w:rPr>
          <w:rFonts w:cs="Sylfaen"/>
          <w:color w:val="000000" w:themeColor="text1"/>
          <w:szCs w:val="24"/>
          <w:lang w:val="hy-AM"/>
        </w:rPr>
        <w:t xml:space="preserve">ՊԵԿ-ի կողմից </w:t>
      </w:r>
      <w:r w:rsidRPr="008E7C43">
        <w:rPr>
          <w:rFonts w:cs="Sylfaen"/>
          <w:szCs w:val="24"/>
          <w:lang w:val="hy-AM"/>
        </w:rPr>
        <w:t xml:space="preserve"> թիվ ՀՀ ՊԵԿ-ՀԲՄԾՁԲ-2023/1 և թիվ ՀՀ ՊԵԿ-ԲՄԾՁԲ-2022/3 պայմանագրերով /այսուհետ՝ Պայմանագրեր/ ձեռք է բերվել  բեռնատար տրանսպորտային միջոցներ և բեռնատար գնացքներ զննող ռենտգենյան սարքավորումների տեխնիկական սպասարկման  ծառայություններ: Վերը նշված Պայմանագրերին կից  հավելված 1-ով սահմանվել է տեխնիկական բնութագրերը, համաձայն որի կատարողը պետք է իրականացնի. Կանխարգելիչ տեխնիկական ստուգումներ, սպասարկում, սարքավորման խափանման դեպքում իրականացվող վերանորոգումներ, Կատարողի կողմից մատուցվող ծառայության  մեկնաբանում Պատվիրատուին, իրականացվող ծառայությունների անհրաժեշտության և պատճառահետևանքային կապի բացատրություն Պատվիրատուին: </w:t>
      </w:r>
    </w:p>
    <w:p w14:paraId="00345003" w14:textId="77777777" w:rsidR="008E7C43" w:rsidRPr="008E7C43" w:rsidRDefault="008E7C43" w:rsidP="003D379F">
      <w:pPr>
        <w:spacing w:before="0" w:after="0"/>
        <w:ind w:firstLine="720"/>
        <w:rPr>
          <w:rFonts w:cs="Sylfaen"/>
          <w:szCs w:val="24"/>
          <w:lang w:val="hy-AM"/>
        </w:rPr>
      </w:pPr>
      <w:r w:rsidRPr="008E7C43">
        <w:rPr>
          <w:rFonts w:cs="Sylfaen"/>
          <w:szCs w:val="24"/>
          <w:lang w:val="hy-AM"/>
        </w:rPr>
        <w:t xml:space="preserve">Նշված ծառայությունների դիմաց փաստացի վճարումները կազմել են  </w:t>
      </w:r>
      <w:r w:rsidRPr="008E7C43">
        <w:rPr>
          <w:rFonts w:cs="Sylfaen"/>
          <w:bCs/>
          <w:color w:val="000000" w:themeColor="text1"/>
          <w:szCs w:val="24"/>
          <w:lang w:val="hy-AM"/>
        </w:rPr>
        <w:t>773,502.58</w:t>
      </w:r>
      <w:r w:rsidRPr="008E7C43">
        <w:rPr>
          <w:rFonts w:cs="Sylfaen"/>
          <w:b/>
          <w:bCs/>
          <w:i/>
          <w:color w:val="000000" w:themeColor="text1"/>
          <w:szCs w:val="24"/>
          <w:lang w:val="hy-AM"/>
        </w:rPr>
        <w:t xml:space="preserve"> </w:t>
      </w:r>
      <w:r w:rsidRPr="008E7C43">
        <w:rPr>
          <w:rFonts w:cs="Sylfaen"/>
          <w:szCs w:val="24"/>
          <w:lang w:val="hy-AM"/>
        </w:rPr>
        <w:t xml:space="preserve">հազ.դրամ: Համաձայն Ֆինանսների և Էկոնոմիկայի նախարարի 2007 թվականի հունվարի 9-ի Հայաստանի Հանրապետության բյուջետային ու հանրային հատվածի հաշվապահական հաշվառման դասակարգումները և դրանց կիրառման ցուցումները հաստատելու մասին թիվ 5-Ն հրամանի № 16 հավելվածի (Ընթացիկ ծախսեր)՝ </w:t>
      </w:r>
      <w:r w:rsidR="000F7CB5" w:rsidRPr="000F7CB5">
        <w:rPr>
          <w:rFonts w:cs="Sylfaen"/>
          <w:szCs w:val="24"/>
          <w:lang w:val="hy-AM"/>
        </w:rPr>
        <w:t>«Հ</w:t>
      </w:r>
      <w:r w:rsidRPr="008E7C43">
        <w:rPr>
          <w:rFonts w:cs="Sylfaen"/>
          <w:szCs w:val="24"/>
          <w:lang w:val="hy-AM"/>
        </w:rPr>
        <w:t>իմնական միջոցների պահպանման և ընթացիկ վերանորոգման համար օգտագործվող ապրանքների ու ծառայությունների ձեռքբերման ծախսերը համարվում են ապրանքների և ծառայությունների ձեռքբերման ծախսեր</w:t>
      </w:r>
      <w:r w:rsidR="000F7CB5" w:rsidRPr="000F7CB5">
        <w:rPr>
          <w:rFonts w:cs="Sylfaen"/>
          <w:szCs w:val="24"/>
          <w:lang w:val="hy-AM"/>
        </w:rPr>
        <w:t>»</w:t>
      </w:r>
      <w:r w:rsidRPr="008E7C43">
        <w:rPr>
          <w:rFonts w:cs="Sylfaen"/>
          <w:szCs w:val="24"/>
          <w:lang w:val="hy-AM"/>
        </w:rPr>
        <w:t xml:space="preserve">: Դրանք  պարբերաբար իրականացվում են  որպեսզի կարողանան նախատեսված օգտակար ծառայության ժամկետի ընթացքում օգտագործել այդ ակտիվները և դրանք չեն փոխում հիմնական միջոցները, այլ պահպանում </w:t>
      </w:r>
      <w:r w:rsidRPr="008E7C43">
        <w:rPr>
          <w:rFonts w:cs="Sylfaen"/>
          <w:szCs w:val="24"/>
          <w:lang w:val="hy-AM"/>
        </w:rPr>
        <w:lastRenderedPageBreak/>
        <w:t xml:space="preserve">են դրանց աշխատունակությունը կամ էլ շարքից դուրս գալու դեպքում վերադարձնում են դրանք աշխատունակ վիճակի: </w:t>
      </w:r>
    </w:p>
    <w:p w14:paraId="71EE3151" w14:textId="77777777" w:rsidR="005D101C" w:rsidRDefault="005D101C" w:rsidP="005D101C">
      <w:pPr>
        <w:spacing w:before="0" w:after="0"/>
        <w:rPr>
          <w:rFonts w:eastAsia="Calibri"/>
          <w:b/>
          <w:i/>
          <w:szCs w:val="24"/>
          <w:lang w:val="hy-AM"/>
        </w:rPr>
      </w:pPr>
      <w:r w:rsidRPr="000F123F">
        <w:rPr>
          <w:rFonts w:eastAsia="Calibri"/>
          <w:b/>
          <w:i/>
          <w:szCs w:val="24"/>
          <w:lang w:val="hy-AM"/>
        </w:rPr>
        <w:t>Հաշվեքննության օբյեկտի արձագանքը</w:t>
      </w:r>
    </w:p>
    <w:p w14:paraId="59E6F367"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Կոմիտեն հաշվեքննողի կողմից արձանագրած բյուջետային ծախսերի տնտեսագիտական դասա</w:t>
      </w:r>
      <w:r w:rsidRPr="00A90027">
        <w:rPr>
          <w:rFonts w:eastAsiaTheme="minorHAnsi" w:cstheme="minorBidi"/>
          <w:szCs w:val="24"/>
          <w:lang w:val="hy-AM"/>
        </w:rPr>
        <w:softHyphen/>
        <w:t>կար</w:t>
      </w:r>
      <w:r w:rsidRPr="00A90027">
        <w:rPr>
          <w:rFonts w:eastAsiaTheme="minorHAnsi" w:cstheme="minorBidi"/>
          <w:szCs w:val="24"/>
          <w:lang w:val="hy-AM"/>
        </w:rPr>
        <w:softHyphen/>
        <w:t>գման 5129 «Այլ մեքենաներ և սարքավորումներ» հոդվածով կատարված ծախսերի անհամա</w:t>
      </w:r>
      <w:r w:rsidRPr="00A90027">
        <w:rPr>
          <w:rFonts w:eastAsiaTheme="minorHAnsi" w:cstheme="minorBidi"/>
          <w:szCs w:val="24"/>
          <w:lang w:val="hy-AM"/>
        </w:rPr>
        <w:softHyphen/>
      </w:r>
      <w:r w:rsidRPr="00A90027">
        <w:rPr>
          <w:rFonts w:eastAsiaTheme="minorHAnsi" w:cstheme="minorBidi"/>
          <w:szCs w:val="24"/>
          <w:lang w:val="hy-AM"/>
        </w:rPr>
        <w:softHyphen/>
        <w:t>պատասխանու</w:t>
      </w:r>
      <w:r w:rsidRPr="00A90027">
        <w:rPr>
          <w:rFonts w:eastAsiaTheme="minorHAnsi" w:cstheme="minorBidi"/>
          <w:szCs w:val="24"/>
          <w:lang w:val="hy-AM"/>
        </w:rPr>
        <w:softHyphen/>
        <w:t>թյունը, Ֆինանսների և Էկոնոմիկայի նախարարի Հայաստանի Հանրա</w:t>
      </w:r>
      <w:r w:rsidRPr="00A90027">
        <w:rPr>
          <w:rFonts w:eastAsiaTheme="minorHAnsi" w:cstheme="minorBidi"/>
          <w:szCs w:val="24"/>
          <w:lang w:val="hy-AM"/>
        </w:rPr>
        <w:softHyphen/>
      </w:r>
      <w:r w:rsidRPr="00A90027">
        <w:rPr>
          <w:rFonts w:eastAsiaTheme="minorHAnsi" w:cstheme="minorBidi"/>
          <w:szCs w:val="24"/>
          <w:lang w:val="hy-AM"/>
        </w:rPr>
        <w:softHyphen/>
      </w:r>
      <w:r w:rsidRPr="00A90027">
        <w:rPr>
          <w:rFonts w:eastAsiaTheme="minorHAnsi" w:cstheme="minorBidi"/>
          <w:szCs w:val="24"/>
          <w:lang w:val="hy-AM"/>
        </w:rPr>
        <w:softHyphen/>
      </w:r>
      <w:r w:rsidRPr="00A90027">
        <w:rPr>
          <w:rFonts w:eastAsiaTheme="minorHAnsi" w:cstheme="minorBidi"/>
          <w:szCs w:val="24"/>
          <w:lang w:val="hy-AM"/>
        </w:rPr>
        <w:softHyphen/>
        <w:t>պետու</w:t>
      </w:r>
      <w:r w:rsidRPr="00A90027">
        <w:rPr>
          <w:rFonts w:eastAsiaTheme="minorHAnsi" w:cstheme="minorBidi"/>
          <w:szCs w:val="24"/>
          <w:lang w:val="hy-AM"/>
        </w:rPr>
        <w:softHyphen/>
      </w:r>
      <w:r w:rsidRPr="00A90027">
        <w:rPr>
          <w:rFonts w:eastAsiaTheme="minorHAnsi" w:cstheme="minorBidi"/>
          <w:szCs w:val="24"/>
          <w:lang w:val="hy-AM"/>
        </w:rPr>
        <w:softHyphen/>
        <w:t>թյան բյուջե</w:t>
      </w:r>
      <w:r w:rsidRPr="00A90027">
        <w:rPr>
          <w:rFonts w:eastAsiaTheme="minorHAnsi" w:cstheme="minorBidi"/>
          <w:szCs w:val="24"/>
          <w:lang w:val="hy-AM"/>
        </w:rPr>
        <w:softHyphen/>
        <w:t>տային ու հանրային հատվածի հաշվապահական հաշվառման դասա</w:t>
      </w:r>
      <w:r w:rsidRPr="00A90027">
        <w:rPr>
          <w:rFonts w:eastAsiaTheme="minorHAnsi" w:cstheme="minorBidi"/>
          <w:szCs w:val="24"/>
          <w:lang w:val="hy-AM"/>
        </w:rPr>
        <w:softHyphen/>
        <w:t>կարգումները և դրանց կիրառման ցուցումները հաստատելու մասին 2007 թվականի հունվարի 9-ի թիվ 5-Ն հրամանով սահման</w:t>
      </w:r>
      <w:r w:rsidRPr="00A90027">
        <w:rPr>
          <w:rFonts w:eastAsiaTheme="minorHAnsi" w:cstheme="minorBidi"/>
          <w:szCs w:val="24"/>
          <w:lang w:val="hy-AM"/>
        </w:rPr>
        <w:softHyphen/>
        <w:t>ված պահանջների հարցում, հաշվեքննողին բազմիցս հայտնել է, որ 2024 թվականի պետական բյուջեում արդեն իսկ կատարվել են համապատասխան փոփո</w:t>
      </w:r>
      <w:r w:rsidRPr="00A90027">
        <w:rPr>
          <w:rFonts w:eastAsiaTheme="minorHAnsi" w:cstheme="minorBidi"/>
          <w:szCs w:val="24"/>
          <w:lang w:val="hy-AM"/>
        </w:rPr>
        <w:softHyphen/>
        <w:t>խություններ և ռենգեն զննող սարքավորումների սպասարկման հետ կապված ծախսերը նախա</w:t>
      </w:r>
      <w:r w:rsidRPr="00A90027">
        <w:rPr>
          <w:rFonts w:eastAsiaTheme="minorHAnsi" w:cstheme="minorBidi"/>
          <w:szCs w:val="24"/>
          <w:lang w:val="hy-AM"/>
        </w:rPr>
        <w:softHyphen/>
        <w:t>տեսել են Կոմիտեի ապարատի պահպանման ծախսերում (հիմք` ՀՀ կառավարության 2023 թվականի դեկտեմբերի 28-ի «Հայաստանի Հանրապետության 2024 թվականի պետական բյուջեի կատարումն ապահովող միջոցառում</w:t>
      </w:r>
      <w:r w:rsidRPr="00A90027">
        <w:rPr>
          <w:rFonts w:eastAsiaTheme="minorHAnsi" w:cstheme="minorBidi"/>
          <w:szCs w:val="24"/>
          <w:lang w:val="hy-AM"/>
        </w:rPr>
        <w:softHyphen/>
        <w:t>ների մասին» N 2323-Ն որոշման N 4 հավելված):</w:t>
      </w:r>
    </w:p>
    <w:p w14:paraId="0C148BC4"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Իսկ ինչ վերաբերում է բյուջետային ծախսերի տնտեսագիտական դասակարգման հոդվա</w:t>
      </w:r>
      <w:r w:rsidRPr="00A90027">
        <w:rPr>
          <w:rFonts w:eastAsiaTheme="minorHAnsi" w:cstheme="minorBidi"/>
          <w:szCs w:val="24"/>
          <w:lang w:val="hy-AM"/>
        </w:rPr>
        <w:softHyphen/>
        <w:t>ծի անհամա</w:t>
      </w:r>
      <w:r w:rsidRPr="00A90027">
        <w:rPr>
          <w:rFonts w:eastAsiaTheme="minorHAnsi" w:cstheme="minorBidi"/>
          <w:szCs w:val="24"/>
          <w:lang w:val="hy-AM"/>
        </w:rPr>
        <w:softHyphen/>
        <w:t xml:space="preserve">պատասխանության արդյունքում հաշվեքննողի կողմից արձանագրված </w:t>
      </w:r>
      <w:r w:rsidRPr="00A90027">
        <w:rPr>
          <w:rFonts w:eastAsiaTheme="minorHAnsi" w:cstheme="minorBidi"/>
          <w:b/>
          <w:szCs w:val="24"/>
          <w:lang w:val="hy-AM"/>
        </w:rPr>
        <w:t>773,502.6 հազար դրամի</w:t>
      </w:r>
      <w:r w:rsidRPr="00A90027">
        <w:rPr>
          <w:rFonts w:eastAsiaTheme="minorHAnsi" w:cstheme="minorBidi"/>
          <w:szCs w:val="24"/>
          <w:lang w:val="hy-AM"/>
        </w:rPr>
        <w:t xml:space="preserve"> </w:t>
      </w:r>
      <w:r w:rsidRPr="00A90027">
        <w:rPr>
          <w:rFonts w:eastAsiaTheme="minorHAnsi" w:cstheme="minorBidi"/>
          <w:b/>
          <w:szCs w:val="24"/>
          <w:lang w:val="hy-AM"/>
        </w:rPr>
        <w:t>խեղաթյուրմանը</w:t>
      </w:r>
      <w:r w:rsidRPr="00A90027">
        <w:rPr>
          <w:rFonts w:eastAsiaTheme="minorHAnsi" w:cstheme="minorBidi"/>
          <w:szCs w:val="24"/>
          <w:lang w:val="hy-AM"/>
        </w:rPr>
        <w:t>, ապա հայտնում ենք, որ վերջինս ընդունելի չէ, քանի որ ըստ էության տեղի է ունեցել բյուջետային ծախսերի տնտեսագիտական դասա</w:t>
      </w:r>
      <w:r w:rsidRPr="00A90027">
        <w:rPr>
          <w:rFonts w:eastAsiaTheme="minorHAnsi" w:cstheme="minorBidi"/>
          <w:szCs w:val="24"/>
          <w:lang w:val="hy-AM"/>
        </w:rPr>
        <w:softHyphen/>
        <w:t>կարգման հոդվածների անհամա</w:t>
      </w:r>
      <w:r w:rsidRPr="00A90027">
        <w:rPr>
          <w:rFonts w:eastAsiaTheme="minorHAnsi" w:cstheme="minorBidi"/>
          <w:szCs w:val="24"/>
          <w:lang w:val="hy-AM"/>
        </w:rPr>
        <w:softHyphen/>
        <w:t>պատասխանություն:</w:t>
      </w:r>
    </w:p>
    <w:p w14:paraId="0B428D69"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Ելնելով վերոգրյալից և հաշվի առնելով հանրության կողմից ստացվող հնչեղությունը` հաշվեքննողին առաջարկում ենք Կոմիտեի 2023 թվականի պետական բյուջեի տարեկան կատարման հաշվեքննության արդյունքների վերաբերյալ արձանա</w:t>
      </w:r>
      <w:r w:rsidRPr="00A90027">
        <w:rPr>
          <w:rFonts w:eastAsiaTheme="minorHAnsi" w:cstheme="minorBidi"/>
          <w:szCs w:val="24"/>
          <w:lang w:val="hy-AM"/>
        </w:rPr>
        <w:softHyphen/>
        <w:t>գրության 3-րդ կետից հանել խեղաթյուրման վերաբերյալ արձանագրումը:</w:t>
      </w:r>
    </w:p>
    <w:p w14:paraId="1337B942" w14:textId="77777777" w:rsidR="00A90027" w:rsidRPr="00A90027" w:rsidRDefault="00A90027" w:rsidP="00A90027">
      <w:pPr>
        <w:spacing w:before="0" w:after="0" w:line="240" w:lineRule="auto"/>
        <w:ind w:firstLine="567"/>
        <w:rPr>
          <w:rFonts w:eastAsiaTheme="minorHAnsi" w:cstheme="minorBidi"/>
          <w:b/>
          <w:i/>
          <w:szCs w:val="24"/>
          <w:lang w:val="hy-AM"/>
        </w:rPr>
      </w:pPr>
      <w:r w:rsidRPr="00A90027">
        <w:rPr>
          <w:rFonts w:eastAsiaTheme="minorHAnsi" w:cstheme="minorBidi"/>
          <w:b/>
          <w:i/>
          <w:szCs w:val="24"/>
          <w:lang w:val="hy-AM"/>
        </w:rPr>
        <w:t>Կոմիտեի կողմից նույնաբովանդակ պարզաբանում տրամադրվել է 1-ին եռամսյակի, 1-ին կիսամյակի և ինն ամիսների հաշվեքննությունների շրջանակներում:</w:t>
      </w:r>
    </w:p>
    <w:p w14:paraId="5BCAD0B9" w14:textId="77777777" w:rsidR="00A90027" w:rsidRPr="000F123F" w:rsidRDefault="00A90027" w:rsidP="005D101C">
      <w:pPr>
        <w:spacing w:before="0" w:after="0"/>
        <w:rPr>
          <w:rFonts w:eastAsia="Calibri"/>
          <w:b/>
          <w:i/>
          <w:szCs w:val="24"/>
          <w:lang w:val="hy-AM"/>
        </w:rPr>
      </w:pPr>
    </w:p>
    <w:p w14:paraId="0EB62872" w14:textId="77777777" w:rsidR="005D101C" w:rsidRPr="000F123F" w:rsidRDefault="005D101C" w:rsidP="005D101C">
      <w:pPr>
        <w:spacing w:after="0"/>
        <w:rPr>
          <w:rFonts w:eastAsia="Calibri"/>
          <w:b/>
          <w:i/>
          <w:szCs w:val="24"/>
          <w:lang w:val="hy-AM"/>
        </w:rPr>
      </w:pPr>
      <w:r w:rsidRPr="000F123F" w:rsidDel="006241F6">
        <w:rPr>
          <w:rFonts w:eastAsia="Calibri"/>
          <w:b/>
          <w:i/>
          <w:szCs w:val="24"/>
          <w:lang w:val="hy-AM"/>
        </w:rPr>
        <w:t>Հաշվեքննողների մեկնաբանությունը</w:t>
      </w:r>
    </w:p>
    <w:p w14:paraId="7D3A4BB7" w14:textId="77777777" w:rsidR="00BF7D8F" w:rsidRPr="008E7C43" w:rsidRDefault="00BF7D8F" w:rsidP="00BF7D8F">
      <w:pPr>
        <w:spacing w:before="0" w:after="0"/>
        <w:ind w:firstLine="284"/>
        <w:rPr>
          <w:szCs w:val="24"/>
          <w:lang w:val="hy-AM"/>
        </w:rPr>
      </w:pPr>
      <w:r w:rsidRPr="00BF7D8F">
        <w:rPr>
          <w:rFonts w:eastAsia="Calibri"/>
          <w:szCs w:val="24"/>
          <w:lang w:val="hy-AM"/>
        </w:rPr>
        <w:t xml:space="preserve">Հաշվեքննության օբյեկտի արձագանքը, </w:t>
      </w:r>
      <w:r w:rsidRPr="00BF7D8F">
        <w:rPr>
          <w:szCs w:val="24"/>
          <w:lang w:val="hy-AM"/>
        </w:rPr>
        <w:t>2024 թվականի պետական բյուջեում փոփոխություններ կատարելու  և ռենգեն զննող սարքավորումների սպասարկման ծախսերը ՊԵԿ-ի պահպանման ընթացիկ ծախսերում ներառելու վերաբերյալ, ընդունվել է ի գիտություն:</w:t>
      </w:r>
      <w:r w:rsidRPr="008E7C43">
        <w:rPr>
          <w:szCs w:val="24"/>
          <w:lang w:val="hy-AM"/>
        </w:rPr>
        <w:t xml:space="preserve"> </w:t>
      </w:r>
    </w:p>
    <w:p w14:paraId="4077B56C" w14:textId="77777777" w:rsidR="002E2077" w:rsidRPr="00BA688C" w:rsidRDefault="002E2077" w:rsidP="002E2077">
      <w:pPr>
        <w:spacing w:after="0"/>
        <w:ind w:firstLine="567"/>
        <w:rPr>
          <w:szCs w:val="24"/>
          <w:lang w:val="hy-AM"/>
        </w:rPr>
      </w:pPr>
      <w:r w:rsidRPr="00F471B8">
        <w:rPr>
          <w:szCs w:val="24"/>
          <w:lang w:val="hy-AM"/>
        </w:rPr>
        <w:lastRenderedPageBreak/>
        <w:t>Ա</w:t>
      </w:r>
      <w:r w:rsidRPr="00BA688C" w:rsidDel="006241F6">
        <w:rPr>
          <w:szCs w:val="24"/>
          <w:lang w:val="hy-AM"/>
        </w:rPr>
        <w:t>րտաքին պետական հաշվեքննությանը վերաբերելի փաստաթղթերում «խեղաթյուրում» եզրույթն օգտագործվում է «Հաշվեքննիչ պալատի մասին» ՀՀ օրենքի և Աուդիտի բարձրագույն մարմինների համար կիրառելի միջազգային ստանդարտներով սահմանված իմաստով՝ «ֆինանսական հաշվետվությունում գումարի, դասակարգման, ներկայացման կամ բացահայտման ու դրանց համար ֆինանսական հաշվետվությունների պատրաստման կիրառելի հիմունքներով սահմանված պահանջների միջև տարբերություն»։ Հետևաբար, հաշվի առնելով, որ տվյալ դեպքում ֆինանսական գործարքի՝ օրենսդրության կիրառելի պահանջից տարբերվող դասակարգմամբ հաշվառված և հաշվետվության մեջ ներկայացված լինելու հանգամանքները հաշվեքննությամբ ապացուցված են, ուստի հաշվետվությունն ինքնաբերաբար խեղաթյուրված է։</w:t>
      </w:r>
    </w:p>
    <w:p w14:paraId="4B77D982" w14:textId="77777777" w:rsidR="008A058A" w:rsidRPr="008A058A" w:rsidRDefault="008A058A" w:rsidP="008A058A">
      <w:pPr>
        <w:spacing w:before="0" w:after="0"/>
        <w:ind w:firstLine="284"/>
        <w:rPr>
          <w:szCs w:val="24"/>
          <w:lang w:val="hy-AM"/>
        </w:rPr>
      </w:pPr>
    </w:p>
    <w:p w14:paraId="4FE031EF" w14:textId="77777777" w:rsidR="008A058A" w:rsidRPr="008A058A" w:rsidRDefault="008A058A" w:rsidP="008A058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22" w:name="_Toc148712960"/>
      <w:bookmarkStart w:id="23" w:name="_Toc164676868"/>
      <w:r w:rsidRPr="008A058A">
        <w:rPr>
          <w:rFonts w:eastAsiaTheme="majorEastAsia" w:cstheme="majorBidi"/>
          <w:b/>
          <w:i/>
          <w:color w:val="000000" w:themeColor="text1"/>
          <w:sz w:val="28"/>
          <w:szCs w:val="28"/>
          <w:lang w:val="hy-AM"/>
        </w:rPr>
        <w:t>1023-11001 «Հարկային և մաքսային ծրագրի» միջոցառման շրջանակներում 426400 «Տրանսպորտային նյութեր» տնտեսագիտական դասակարգման հոդվածով կատարված ծախսեր</w:t>
      </w:r>
      <w:bookmarkEnd w:id="22"/>
      <w:bookmarkEnd w:id="23"/>
    </w:p>
    <w:p w14:paraId="66E87244" w14:textId="77777777" w:rsidR="008A058A" w:rsidRDefault="008A058A" w:rsidP="008A058A">
      <w:pPr>
        <w:spacing w:after="0"/>
        <w:ind w:firstLine="375"/>
        <w:rPr>
          <w:rFonts w:eastAsia="Times New Roman" w:cs="Arial"/>
          <w:b/>
          <w:i/>
          <w:color w:val="000000"/>
          <w:szCs w:val="24"/>
          <w:lang w:val="hy-AM" w:bidi="en-US"/>
        </w:rPr>
      </w:pPr>
    </w:p>
    <w:p w14:paraId="7E748FBD" w14:textId="77777777" w:rsidR="00CC6DA4" w:rsidRPr="008A058A" w:rsidRDefault="00CC6DA4" w:rsidP="00CC6DA4">
      <w:pPr>
        <w:spacing w:before="0" w:after="0"/>
        <w:ind w:firstLine="440"/>
        <w:rPr>
          <w:rFonts w:eastAsia="Times New Roman" w:cs="Arial"/>
          <w:color w:val="000000"/>
          <w:szCs w:val="24"/>
          <w:lang w:val="hy-AM" w:bidi="en-US"/>
        </w:rPr>
      </w:pPr>
      <w:r w:rsidRPr="00CC6DA4">
        <w:rPr>
          <w:rFonts w:eastAsia="Times New Roman" w:cs="Arial"/>
          <w:b/>
          <w:i/>
          <w:color w:val="000000"/>
          <w:szCs w:val="24"/>
          <w:lang w:val="hy-AM" w:bidi="en-US"/>
        </w:rPr>
        <w:t xml:space="preserve">3.1 </w:t>
      </w:r>
      <w:r w:rsidR="008A058A" w:rsidRPr="008A058A">
        <w:rPr>
          <w:rFonts w:eastAsia="Times New Roman" w:cs="Arial"/>
          <w:b/>
          <w:i/>
          <w:color w:val="000000"/>
          <w:szCs w:val="24"/>
          <w:lang w:val="hy-AM" w:bidi="en-US"/>
        </w:rPr>
        <w:t>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 նկատմամբ</w:t>
      </w:r>
      <w:r w:rsidR="001A5928" w:rsidRPr="001A5928">
        <w:rPr>
          <w:rFonts w:eastAsia="Times New Roman" w:cs="Arial"/>
          <w:b/>
          <w:i/>
          <w:color w:val="000000"/>
          <w:szCs w:val="24"/>
          <w:lang w:val="hy-AM" w:bidi="en-US"/>
        </w:rPr>
        <w:t>:</w:t>
      </w:r>
      <w:r w:rsidRPr="00CC6DA4">
        <w:rPr>
          <w:rFonts w:eastAsia="Times New Roman" w:cs="Arial"/>
          <w:color w:val="000000"/>
          <w:szCs w:val="24"/>
          <w:lang w:val="hy-AM" w:bidi="en-US"/>
        </w:rPr>
        <w:t xml:space="preserve"> Ս</w:t>
      </w:r>
      <w:r w:rsidRPr="008A058A">
        <w:rPr>
          <w:rFonts w:eastAsia="Times New Roman" w:cs="Arial"/>
          <w:color w:val="000000"/>
          <w:szCs w:val="24"/>
          <w:lang w:val="hy-AM" w:bidi="en-US"/>
        </w:rPr>
        <w:t>կ</w:t>
      </w:r>
      <w:r>
        <w:rPr>
          <w:rFonts w:eastAsia="Times New Roman" w:cs="Arial"/>
          <w:color w:val="000000"/>
          <w:szCs w:val="24"/>
          <w:lang w:val="hy-AM" w:bidi="en-US"/>
        </w:rPr>
        <w:t>զբնական հաշվառման փաստաթղթերում</w:t>
      </w:r>
      <w:r w:rsidRPr="001A5928">
        <w:rPr>
          <w:rFonts w:eastAsia="Times New Roman" w:cs="Arial"/>
          <w:b/>
          <w:i/>
          <w:color w:val="000000"/>
          <w:szCs w:val="24"/>
          <w:lang w:val="hy-AM" w:bidi="en-US"/>
        </w:rPr>
        <w:t xml:space="preserve"> պետք է </w:t>
      </w:r>
      <w:r w:rsidRPr="00176E15">
        <w:rPr>
          <w:rFonts w:eastAsia="Times New Roman" w:cs="Arial"/>
          <w:b/>
          <w:i/>
          <w:color w:val="000000"/>
          <w:szCs w:val="24"/>
          <w:lang w:val="hy-AM" w:bidi="en-US"/>
        </w:rPr>
        <w:t xml:space="preserve">ունենան պարտադիր </w:t>
      </w:r>
      <w:r>
        <w:rPr>
          <w:rFonts w:eastAsia="Times New Roman" w:cs="Arial"/>
          <w:b/>
          <w:i/>
          <w:color w:val="000000"/>
          <w:szCs w:val="24"/>
          <w:lang w:val="hy-AM" w:bidi="en-US"/>
        </w:rPr>
        <w:t xml:space="preserve">վավերապայմաններ, այդ թվում </w:t>
      </w:r>
      <w:r w:rsidRPr="008A058A">
        <w:rPr>
          <w:rFonts w:eastAsia="Times New Roman" w:cs="Arial"/>
          <w:color w:val="000000"/>
          <w:szCs w:val="24"/>
          <w:lang w:val="hy-AM" w:bidi="en-US"/>
        </w:rPr>
        <w:t xml:space="preserve"> </w:t>
      </w:r>
      <w:r w:rsidRPr="001A5928">
        <w:rPr>
          <w:rFonts w:eastAsia="Times New Roman" w:cs="Arial"/>
          <w:color w:val="000000"/>
          <w:szCs w:val="24"/>
          <w:lang w:val="hy-AM" w:bidi="en-US"/>
        </w:rPr>
        <w:t>գ</w:t>
      </w:r>
      <w:r>
        <w:rPr>
          <w:rFonts w:eastAsia="Times New Roman" w:cs="Arial"/>
          <w:color w:val="000000"/>
          <w:szCs w:val="24"/>
          <w:lang w:val="hy-AM" w:bidi="en-US"/>
        </w:rPr>
        <w:t>ործառնության</w:t>
      </w:r>
      <w:r w:rsidRPr="001A5928">
        <w:rPr>
          <w:rFonts w:eastAsia="Times New Roman" w:cs="Arial"/>
          <w:color w:val="000000"/>
          <w:szCs w:val="24"/>
          <w:lang w:val="hy-AM" w:bidi="en-US"/>
        </w:rPr>
        <w:t xml:space="preserve"> չափման միավորները` դրամական և (</w:t>
      </w:r>
      <w:r>
        <w:rPr>
          <w:rFonts w:eastAsia="Times New Roman" w:cs="Arial"/>
          <w:color w:val="000000"/>
          <w:szCs w:val="24"/>
          <w:lang w:val="hy-AM" w:bidi="en-US"/>
        </w:rPr>
        <w:t xml:space="preserve">կամ) բնաիրային արտահայտությամբ, ինչպես նաև </w:t>
      </w:r>
      <w:r w:rsidRPr="00176E15">
        <w:rPr>
          <w:rFonts w:eastAsia="Times New Roman" w:cs="Arial"/>
          <w:color w:val="000000"/>
          <w:szCs w:val="24"/>
          <w:lang w:val="hy-AM" w:bidi="en-US"/>
        </w:rPr>
        <w:t xml:space="preserve"> </w:t>
      </w:r>
      <w:r w:rsidRPr="001A5928">
        <w:rPr>
          <w:rFonts w:eastAsia="Times New Roman" w:cs="Arial"/>
          <w:color w:val="000000"/>
          <w:szCs w:val="24"/>
          <w:lang w:val="hy-AM" w:bidi="en-US"/>
        </w:rPr>
        <w:t xml:space="preserve">պատասխանատու անձի (անձանց) անունը, ազգանունը, պաշտոնը և ստորագրությունը: </w:t>
      </w:r>
      <w:r w:rsidRPr="00CC6DA4">
        <w:rPr>
          <w:rFonts w:eastAsia="Times New Roman" w:cs="Arial"/>
          <w:color w:val="000000"/>
          <w:szCs w:val="24"/>
          <w:lang w:val="hy-AM" w:bidi="en-US"/>
        </w:rPr>
        <w:t>Ավտոմեքենաների վառելիքի ծախսը հիմնավորող</w:t>
      </w:r>
      <w:r w:rsidRPr="008A058A">
        <w:rPr>
          <w:rFonts w:eastAsia="Times New Roman" w:cs="Arial"/>
          <w:color w:val="000000"/>
          <w:szCs w:val="24"/>
          <w:lang w:val="hy-AM" w:bidi="en-US"/>
        </w:rPr>
        <w:t xml:space="preserve"> երթուղային թերթիկներում, բացակայում են օրական կամ ամսական վազքի ցուցմունքները: </w:t>
      </w:r>
    </w:p>
    <w:p w14:paraId="58BB3B39" w14:textId="77777777" w:rsidR="00CC6DA4" w:rsidRPr="008A058A" w:rsidRDefault="00CC6DA4" w:rsidP="00CC6DA4">
      <w:pPr>
        <w:spacing w:before="0" w:after="0"/>
        <w:ind w:firstLine="375"/>
        <w:rPr>
          <w:rFonts w:eastAsia="Times New Roman" w:cs="Arial"/>
          <w:color w:val="000000"/>
          <w:szCs w:val="24"/>
          <w:lang w:val="hy-AM" w:bidi="en-US"/>
        </w:rPr>
      </w:pPr>
      <w:r w:rsidRPr="00CC6DA4">
        <w:rPr>
          <w:rFonts w:eastAsia="Times New Roman" w:cs="Arial"/>
          <w:b/>
          <w:i/>
          <w:color w:val="000000"/>
          <w:szCs w:val="24"/>
          <w:lang w:val="hy-AM" w:bidi="en-US"/>
        </w:rPr>
        <w:t xml:space="preserve">3.2 </w:t>
      </w:r>
      <w:r w:rsidR="008A058A" w:rsidRPr="008A058A">
        <w:rPr>
          <w:rFonts w:eastAsia="Times New Roman" w:cs="Arial"/>
          <w:b/>
          <w:i/>
          <w:color w:val="000000"/>
          <w:szCs w:val="24"/>
          <w:lang w:val="hy-AM" w:bidi="en-US"/>
        </w:rPr>
        <w:t>Առկա է անհամապատասխանություն ՀՀ ֆինանսների նախա</w:t>
      </w:r>
      <w:r>
        <w:rPr>
          <w:rFonts w:eastAsia="Times New Roman" w:cs="Arial"/>
          <w:b/>
          <w:i/>
          <w:color w:val="000000"/>
          <w:szCs w:val="24"/>
          <w:lang w:val="hy-AM" w:bidi="en-US"/>
        </w:rPr>
        <w:t>րարի 2014 թվականի հոկտեմբերի 24</w:t>
      </w:r>
      <w:r w:rsidR="008A058A" w:rsidRPr="008A058A">
        <w:rPr>
          <w:rFonts w:eastAsia="Times New Roman" w:cs="Arial"/>
          <w:b/>
          <w:i/>
          <w:color w:val="000000"/>
          <w:szCs w:val="24"/>
          <w:lang w:val="hy-AM" w:bidi="en-US"/>
        </w:rPr>
        <w:t xml:space="preserve">-ի թիվ 725-Ն հրամանով հաստատված «Հայաստանի Հանրապետության հանրային հատվածի հաշվապահական հաշվառման ստանդարտ»-ով </w:t>
      </w:r>
      <w:r w:rsidRPr="008A058A">
        <w:rPr>
          <w:rFonts w:eastAsia="Times New Roman"/>
          <w:color w:val="000000"/>
          <w:szCs w:val="24"/>
          <w:shd w:val="clear" w:color="auto" w:fill="FFFFFF"/>
          <w:lang w:val="hy-AM"/>
        </w:rPr>
        <w:t>/այսուհետ՝ Ստանդարտ/</w:t>
      </w:r>
      <w:r w:rsidRPr="00CC6DA4">
        <w:rPr>
          <w:rFonts w:eastAsia="Times New Roman"/>
          <w:color w:val="000000"/>
          <w:szCs w:val="24"/>
          <w:shd w:val="clear" w:color="auto" w:fill="FFFFFF"/>
          <w:lang w:val="hy-AM"/>
        </w:rPr>
        <w:t xml:space="preserve"> </w:t>
      </w:r>
      <w:r w:rsidR="008A058A" w:rsidRPr="008A058A">
        <w:rPr>
          <w:rFonts w:eastAsia="Times New Roman" w:cs="Arial"/>
          <w:b/>
          <w:i/>
          <w:color w:val="000000"/>
          <w:szCs w:val="24"/>
          <w:lang w:val="hy-AM" w:bidi="en-US"/>
        </w:rPr>
        <w:t xml:space="preserve">սահմանված ծախսերի ճանաչման (ստանդարտի 2.47 և 2.48  կետեր) պահանջների նկատմամբ: </w:t>
      </w:r>
      <w:r w:rsidRPr="008A058A">
        <w:rPr>
          <w:rFonts w:eastAsia="Times New Roman" w:cs="Arial"/>
          <w:color w:val="000000"/>
          <w:szCs w:val="24"/>
          <w:lang w:val="hy-AM" w:bidi="en-US"/>
        </w:rPr>
        <w:t xml:space="preserve">ՊԵԿ-ում ավտոմեքենաների  վառելիքի ծախսը ճանաչվել և հաշվետվություններում արտացոլվել է չպահպանելով ՀՀ ֆինանսների նախարարի 2014 թվականի հոկտեմբերի 24-ի թիվ 725-Ն հրամանով հաստատված </w:t>
      </w:r>
      <w:r w:rsidRPr="00CC6DA4">
        <w:rPr>
          <w:rFonts w:eastAsia="Times New Roman" w:cs="Arial"/>
          <w:color w:val="000000"/>
          <w:szCs w:val="24"/>
          <w:lang w:val="hy-AM" w:bidi="en-US"/>
        </w:rPr>
        <w:lastRenderedPageBreak/>
        <w:t>Ստանդարտ</w:t>
      </w:r>
      <w:r w:rsidRPr="008A058A">
        <w:rPr>
          <w:rFonts w:eastAsia="Times New Roman" w:cs="Arial"/>
          <w:color w:val="000000"/>
          <w:szCs w:val="24"/>
          <w:lang w:val="hy-AM" w:bidi="en-US"/>
        </w:rPr>
        <w:t xml:space="preserve">ով սահմանված ծախսերի ճանաչման (ստանդարտի 2.47 և 2.48 կետեր) պահանջները, համաձայն որի ֆինանսական հաշվետվությունում ծախսերը պետք է ճանաչվեն, երբ առաջացել է ապագա տնտեսական օգուտների կամ օգտակար պոտենցիալի նվազում` կապված ակտիվի նվազման կամ պարտավորության աճի հետ, որը կարող է արժանահավատորեն չափվել։ Չափումը այն դրամային գումարի որոշման գործընթացն է, որով տվյալ դեպքում ծախսերը ճանաչվում և գրանցվում են ֆինանսական հաշվետվություններում։ </w:t>
      </w:r>
    </w:p>
    <w:p w14:paraId="21DBD366" w14:textId="77777777" w:rsidR="00CC6DA4" w:rsidRPr="008A058A" w:rsidRDefault="00CC6DA4" w:rsidP="00CC6DA4">
      <w:pPr>
        <w:shd w:val="clear" w:color="auto" w:fill="FFFFFF"/>
        <w:spacing w:before="0" w:after="0"/>
        <w:ind w:firstLine="375"/>
        <w:rPr>
          <w:rFonts w:eastAsia="Times New Roman"/>
          <w:color w:val="000000"/>
          <w:szCs w:val="24"/>
          <w:shd w:val="clear" w:color="auto" w:fill="FFFFFF"/>
          <w:lang w:val="hy-AM"/>
        </w:rPr>
      </w:pPr>
      <w:r w:rsidRPr="008A058A">
        <w:rPr>
          <w:rFonts w:eastAsia="Times New Roman"/>
          <w:color w:val="000000"/>
          <w:szCs w:val="24"/>
          <w:shd w:val="clear" w:color="auto" w:fill="FFFFFF"/>
          <w:lang w:val="hy-AM"/>
        </w:rPr>
        <w:t xml:space="preserve">Հաշվապահական հաշվառման կարգավորումը և համակարգումն իրականացնում է Հայաստանի Հանրապետության կառավարության լիազորած պետական կառավարման մարմինը՝ ՀՀ ֆինանսների նախարարությունը, որն իր իրավասության սահմաններում հաստատում է  </w:t>
      </w:r>
      <w:r w:rsidRPr="008A058A">
        <w:rPr>
          <w:rFonts w:eastAsia="Times New Roman"/>
          <w:color w:val="000000"/>
          <w:szCs w:val="24"/>
          <w:lang w:val="hy-AM"/>
        </w:rPr>
        <w:t>հանրային հատվածի հաշվապահական հաշվառման ստանդարտը,  հաշվապահական հաշվառման հաշվային պլանը, դրա կիրառման հրահանգը,  հաշվապահական հաշվառման քաղաքականության օրինակելի մոդելը,  ֆինանսական հաշվետվությունների օրինակելի փաթեթը, լրացման ցուցումները և այլն (</w:t>
      </w:r>
      <w:r w:rsidRPr="008A058A">
        <w:rPr>
          <w:rFonts w:eastAsia="Times New Roman"/>
          <w:color w:val="000000"/>
          <w:szCs w:val="24"/>
          <w:shd w:val="clear" w:color="auto" w:fill="FFFFFF"/>
          <w:lang w:val="hy-AM"/>
        </w:rPr>
        <w:t>«Հանրային հատվածի հաշվապահական հաշվառման մասին» օրենքի (այսուհետ՝ Օրենք)  4-րդ հոդվածի 1-ին և 2-րդ մասեր)։ Ավելին,  Օրենքի նշված հոդվածի 4-րդ մասի համաձայն «</w:t>
      </w:r>
      <w:r w:rsidRPr="008A058A">
        <w:rPr>
          <w:rFonts w:ascii="Cambria Math" w:eastAsia="Times New Roman" w:hAnsi="Cambria Math" w:cs="Cambria Math"/>
          <w:color w:val="000000"/>
          <w:szCs w:val="24"/>
          <w:shd w:val="clear" w:color="auto" w:fill="FFFFFF"/>
          <w:lang w:val="hy-AM"/>
        </w:rPr>
        <w:t>․․․</w:t>
      </w:r>
      <w:r w:rsidRPr="008A058A">
        <w:rPr>
          <w:rFonts w:eastAsia="Times New Roman"/>
          <w:color w:val="000000"/>
          <w:szCs w:val="24"/>
          <w:shd w:val="clear" w:color="auto" w:fill="FFFFFF"/>
          <w:lang w:val="hy-AM"/>
        </w:rPr>
        <w:t xml:space="preserve">հաշվապահական հաշվառման վերաբերյալ այլ իրավական ակտերը պետք է համապատասխանեն </w:t>
      </w:r>
      <w:r w:rsidR="00DD6EEA" w:rsidRPr="00DD6EEA">
        <w:rPr>
          <w:rFonts w:eastAsia="Times New Roman"/>
          <w:color w:val="000000"/>
          <w:szCs w:val="24"/>
          <w:shd w:val="clear" w:color="auto" w:fill="FFFFFF"/>
          <w:lang w:val="hy-AM"/>
        </w:rPr>
        <w:t>Ս</w:t>
      </w:r>
      <w:r w:rsidRPr="008A058A">
        <w:rPr>
          <w:rFonts w:eastAsia="Times New Roman"/>
          <w:color w:val="000000"/>
          <w:szCs w:val="24"/>
          <w:shd w:val="clear" w:color="auto" w:fill="FFFFFF"/>
          <w:lang w:val="hy-AM"/>
        </w:rPr>
        <w:t xml:space="preserve">տանդարտին»:  </w:t>
      </w:r>
    </w:p>
    <w:p w14:paraId="0949B3CB" w14:textId="77777777" w:rsidR="00DD6EEA" w:rsidRPr="008A058A" w:rsidRDefault="00C77F55" w:rsidP="00DD6EEA">
      <w:pPr>
        <w:shd w:val="clear" w:color="auto" w:fill="FFFFFF"/>
        <w:spacing w:before="0" w:after="0"/>
        <w:ind w:firstLine="375"/>
        <w:rPr>
          <w:rFonts w:eastAsia="Times New Roman"/>
          <w:color w:val="000000"/>
          <w:szCs w:val="24"/>
          <w:shd w:val="clear" w:color="auto" w:fill="FFFFFF"/>
          <w:lang w:val="hy-AM"/>
        </w:rPr>
      </w:pPr>
      <w:r w:rsidRPr="00C77F55">
        <w:rPr>
          <w:rFonts w:eastAsia="Times New Roman" w:cs="Arial"/>
          <w:b/>
          <w:i/>
          <w:color w:val="000000"/>
          <w:szCs w:val="24"/>
          <w:lang w:val="hy-AM" w:bidi="en-US"/>
        </w:rPr>
        <w:t xml:space="preserve">3.3 </w:t>
      </w:r>
      <w:r w:rsidR="00176E15" w:rsidRPr="008A058A">
        <w:rPr>
          <w:rFonts w:eastAsia="Times New Roman" w:cs="Arial"/>
          <w:b/>
          <w:i/>
          <w:color w:val="000000"/>
          <w:szCs w:val="24"/>
          <w:lang w:val="hy-AM" w:bidi="en-US"/>
        </w:rPr>
        <w:t>Առկա է անհամապատասխանություն    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գործառնությունների փաստաթղթավորման և փաստաթղթաշրջանառության օրինակելի ուղեցույցը սահմանելու մասին» թիվ 142-Ա   հրամանի հավելվածի 7.7-րդ կետի պահանջների նկատմամբ:</w:t>
      </w:r>
      <w:r w:rsidR="00DD6EEA" w:rsidRPr="00DD6EEA">
        <w:rPr>
          <w:rFonts w:eastAsia="Times New Roman" w:cs="Arial"/>
          <w:b/>
          <w:i/>
          <w:color w:val="000000"/>
          <w:szCs w:val="24"/>
          <w:lang w:val="hy-AM" w:bidi="en-US"/>
        </w:rPr>
        <w:t xml:space="preserve"> </w:t>
      </w:r>
      <w:r w:rsidR="00DD6EEA" w:rsidRPr="008A058A">
        <w:rPr>
          <w:rFonts w:eastAsia="Times New Roman"/>
          <w:color w:val="000000"/>
          <w:szCs w:val="24"/>
          <w:shd w:val="clear" w:color="auto" w:fill="FFFFFF"/>
          <w:lang w:val="hy-AM"/>
        </w:rPr>
        <w:t>«</w:t>
      </w:r>
      <w:r w:rsidR="00DD6EEA" w:rsidRPr="008A058A">
        <w:rPr>
          <w:rFonts w:eastAsia="Times New Roman"/>
          <w:szCs w:val="24"/>
          <w:lang w:val="hy-AM"/>
        </w:rPr>
        <w:t>Կոմիտեի ծառայողական ավտոմեքենաների համար ուղեթերթիկը</w:t>
      </w:r>
      <w:r w:rsidR="00DD6EEA" w:rsidRPr="008A058A">
        <w:rPr>
          <w:rFonts w:eastAsia="Times New Roman"/>
          <w:color w:val="000000"/>
          <w:szCs w:val="24"/>
          <w:shd w:val="clear" w:color="auto" w:fill="FFFFFF"/>
          <w:lang w:val="hy-AM"/>
        </w:rPr>
        <w:t>», որպես հեղուկ վառելիքի ծախսը հիմնավորող սկզբնական հաշվապահական հաշվառման փաստաթուղթ, ինչպես  նշված է սույն, ինչպես նաև նախորդ (2022 թ</w:t>
      </w:r>
      <w:r w:rsidR="00DD6EEA" w:rsidRPr="008A058A">
        <w:rPr>
          <w:rFonts w:ascii="Cambria Math" w:eastAsia="Times New Roman" w:hAnsi="Cambria Math" w:cs="Cambria Math"/>
          <w:color w:val="000000"/>
          <w:szCs w:val="24"/>
          <w:shd w:val="clear" w:color="auto" w:fill="FFFFFF"/>
          <w:lang w:val="hy-AM"/>
        </w:rPr>
        <w:t>․</w:t>
      </w:r>
      <w:r w:rsidR="00DD6EEA" w:rsidRPr="008A058A">
        <w:rPr>
          <w:rFonts w:eastAsia="Times New Roman"/>
          <w:color w:val="000000"/>
          <w:szCs w:val="24"/>
          <w:shd w:val="clear" w:color="auto" w:fill="FFFFFF"/>
          <w:lang w:val="hy-AM"/>
        </w:rPr>
        <w:t>-</w:t>
      </w:r>
      <w:r w:rsidR="00DD6EEA" w:rsidRPr="008A058A">
        <w:rPr>
          <w:rFonts w:eastAsia="Times New Roman" w:cs="GHEA Grapalat"/>
          <w:color w:val="000000"/>
          <w:szCs w:val="24"/>
          <w:shd w:val="clear" w:color="auto" w:fill="FFFFFF"/>
          <w:lang w:val="hy-AM"/>
        </w:rPr>
        <w:t>ի</w:t>
      </w:r>
      <w:r w:rsidR="00DD6EEA" w:rsidRPr="008A058A">
        <w:rPr>
          <w:rFonts w:eastAsia="Times New Roman"/>
          <w:color w:val="000000"/>
          <w:szCs w:val="24"/>
          <w:shd w:val="clear" w:color="auto" w:fill="FFFFFF"/>
          <w:lang w:val="hy-AM"/>
        </w:rPr>
        <w:t xml:space="preserve"> </w:t>
      </w:r>
      <w:r w:rsidR="00DD6EEA" w:rsidRPr="008A058A">
        <w:rPr>
          <w:rFonts w:eastAsia="Times New Roman" w:cs="GHEA Grapalat"/>
          <w:color w:val="000000"/>
          <w:szCs w:val="24"/>
          <w:shd w:val="clear" w:color="auto" w:fill="FFFFFF"/>
          <w:lang w:val="hy-AM"/>
        </w:rPr>
        <w:t>տարեկան</w:t>
      </w:r>
      <w:r w:rsidR="00DD6EEA" w:rsidRPr="008A058A">
        <w:rPr>
          <w:rFonts w:eastAsia="Times New Roman"/>
          <w:color w:val="000000"/>
          <w:szCs w:val="24"/>
          <w:shd w:val="clear" w:color="auto" w:fill="FFFFFF"/>
          <w:lang w:val="hy-AM"/>
        </w:rPr>
        <w:t xml:space="preserve">, 2023 </w:t>
      </w:r>
      <w:r w:rsidR="00DD6EEA" w:rsidRPr="008A058A">
        <w:rPr>
          <w:rFonts w:eastAsia="Times New Roman" w:cs="GHEA Grapalat"/>
          <w:color w:val="000000"/>
          <w:szCs w:val="24"/>
          <w:shd w:val="clear" w:color="auto" w:fill="FFFFFF"/>
          <w:lang w:val="hy-AM"/>
        </w:rPr>
        <w:t>թ</w:t>
      </w:r>
      <w:r w:rsidR="00DD6EEA" w:rsidRPr="008A058A">
        <w:rPr>
          <w:rFonts w:ascii="Cambria Math" w:eastAsia="Times New Roman" w:hAnsi="Cambria Math" w:cs="Cambria Math"/>
          <w:color w:val="000000"/>
          <w:szCs w:val="24"/>
          <w:shd w:val="clear" w:color="auto" w:fill="FFFFFF"/>
          <w:lang w:val="hy-AM"/>
        </w:rPr>
        <w:t>․</w:t>
      </w:r>
      <w:r w:rsidR="00DD6EEA" w:rsidRPr="008A058A">
        <w:rPr>
          <w:rFonts w:eastAsia="Times New Roman"/>
          <w:color w:val="000000"/>
          <w:szCs w:val="24"/>
          <w:shd w:val="clear" w:color="auto" w:fill="FFFFFF"/>
          <w:lang w:val="hy-AM"/>
        </w:rPr>
        <w:t>-</w:t>
      </w:r>
      <w:r w:rsidR="00DD6EEA" w:rsidRPr="008A058A">
        <w:rPr>
          <w:rFonts w:eastAsia="Times New Roman" w:cs="GHEA Grapalat"/>
          <w:color w:val="000000"/>
          <w:szCs w:val="24"/>
          <w:shd w:val="clear" w:color="auto" w:fill="FFFFFF"/>
          <w:lang w:val="hy-AM"/>
        </w:rPr>
        <w:t>ի</w:t>
      </w:r>
      <w:r w:rsidR="00DD6EEA" w:rsidRPr="008A058A">
        <w:rPr>
          <w:rFonts w:eastAsia="Times New Roman"/>
          <w:color w:val="000000"/>
          <w:szCs w:val="24"/>
          <w:shd w:val="clear" w:color="auto" w:fill="FFFFFF"/>
          <w:lang w:val="hy-AM"/>
        </w:rPr>
        <w:t xml:space="preserve"> </w:t>
      </w:r>
      <w:r w:rsidR="00DD6EEA" w:rsidRPr="008A058A">
        <w:rPr>
          <w:szCs w:val="24"/>
          <w:lang w:val="hy-AM"/>
        </w:rPr>
        <w:t>երեք և վեց</w:t>
      </w:r>
      <w:r w:rsidR="00DD6EEA" w:rsidRPr="00C47EA4">
        <w:rPr>
          <w:szCs w:val="24"/>
          <w:lang w:val="hy-AM"/>
        </w:rPr>
        <w:t>, ինն</w:t>
      </w:r>
      <w:r w:rsidR="00DD6EEA" w:rsidRPr="008A058A">
        <w:rPr>
          <w:szCs w:val="24"/>
          <w:lang w:val="hy-AM"/>
        </w:rPr>
        <w:t xml:space="preserve"> ամիսների</w:t>
      </w:r>
      <w:r w:rsidR="00DD6EEA" w:rsidRPr="008A058A">
        <w:rPr>
          <w:rFonts w:eastAsia="Times New Roman"/>
          <w:color w:val="000000"/>
          <w:szCs w:val="24"/>
          <w:shd w:val="clear" w:color="auto" w:fill="FFFFFF"/>
          <w:lang w:val="hy-AM"/>
        </w:rPr>
        <w:t xml:space="preserve">)  հաշվեքննությունների արդյունքներով), պետք է լրացվի  </w:t>
      </w:r>
      <w:r w:rsidR="00DD6EEA" w:rsidRPr="008A058A">
        <w:rPr>
          <w:rFonts w:eastAsia="Times New Roman" w:cs="Arial"/>
          <w:color w:val="000000"/>
          <w:szCs w:val="24"/>
          <w:lang w:val="hy-AM" w:bidi="en-US"/>
        </w:rPr>
        <w:lastRenderedPageBreak/>
        <w:t>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«Մարդատար</w:t>
      </w:r>
      <w:r w:rsidR="00DD6EEA" w:rsidRPr="008A058A">
        <w:rPr>
          <w:rFonts w:eastAsia="Times New Roman"/>
          <w:bCs/>
          <w:color w:val="000000"/>
          <w:szCs w:val="24"/>
          <w:shd w:val="clear" w:color="auto" w:fill="FFFFFF"/>
          <w:lang w:val="hy-AM"/>
        </w:rPr>
        <w:t xml:space="preserve"> ավտոմեքենայի, ոչ ընդհանուր օգտագործման  ավտոբուսի  երթուղային թերթիկին </w:t>
      </w:r>
      <w:r w:rsidR="00DD6EEA" w:rsidRPr="008A058A">
        <w:rPr>
          <w:rFonts w:eastAsia="Times New Roman"/>
          <w:color w:val="000000"/>
          <w:szCs w:val="24"/>
          <w:shd w:val="clear" w:color="auto" w:fill="FFFFFF"/>
          <w:lang w:val="hy-AM"/>
        </w:rPr>
        <w:t xml:space="preserve">(ձև ԾԽ-6)» համապատասխան,  լրացնելով Օրենքի 11-րդ հոդվածի 2-րդ մասով  սահմանված և տվյալ ձևում ներառված պարտադիր վավերապայմանները, այդ թվում՝  «Վազքի ցուցիչի ցուցմունքը ժամանակաշրջանի (օրվա) սկզբում (կմ)», ինչպես նաև   «Վազքի ցուցիչի ցուցմունքը ժամանակաշրջանի (օրվա) վերջում (կմ)»։ </w:t>
      </w:r>
    </w:p>
    <w:p w14:paraId="6B832E03" w14:textId="77777777" w:rsidR="00DD6EEA" w:rsidRPr="008A058A" w:rsidRDefault="00DD6EEA" w:rsidP="00DD6EEA">
      <w:pPr>
        <w:shd w:val="clear" w:color="auto" w:fill="FFFFFF"/>
        <w:spacing w:before="0" w:after="0"/>
        <w:rPr>
          <w:rFonts w:eastAsia="Times New Roman" w:cs="Arial"/>
          <w:color w:val="000000"/>
          <w:szCs w:val="24"/>
          <w:lang w:val="hy-AM" w:bidi="en-US"/>
        </w:rPr>
      </w:pPr>
      <w:r w:rsidRPr="008A058A">
        <w:rPr>
          <w:rFonts w:eastAsia="Times New Roman"/>
          <w:color w:val="000000"/>
          <w:szCs w:val="24"/>
          <w:shd w:val="clear" w:color="auto" w:fill="FFFFFF"/>
          <w:lang w:val="hy-AM"/>
        </w:rPr>
        <w:t>Առանց այդ՝ ֆիզիկական (բնաիրային) մեծություններով չափվող վազքի ցուցիչի ցուցմունքների լրացման, չի ապահովում ավտոտրանսպորտային միջոցների հեղուկ վառելիքի ծախսի հիմնավորվածությունը։</w:t>
      </w:r>
    </w:p>
    <w:p w14:paraId="22891CEE" w14:textId="77777777" w:rsidR="008A058A" w:rsidRPr="00BA769F" w:rsidRDefault="00BF7D8F" w:rsidP="003D379F">
      <w:pPr>
        <w:spacing w:before="0" w:after="0"/>
        <w:ind w:firstLine="440"/>
        <w:rPr>
          <w:rFonts w:eastAsia="Times New Roman" w:cs="Arial"/>
          <w:color w:val="000000"/>
          <w:szCs w:val="24"/>
          <w:lang w:val="hy-AM" w:bidi="en-US"/>
        </w:rPr>
      </w:pPr>
      <w:r w:rsidRPr="00BA769F">
        <w:rPr>
          <w:rFonts w:eastAsia="Times New Roman" w:cs="Arial"/>
          <w:color w:val="000000"/>
          <w:szCs w:val="24"/>
          <w:lang w:val="hy-AM" w:bidi="en-US"/>
        </w:rPr>
        <w:t xml:space="preserve"> </w:t>
      </w:r>
    </w:p>
    <w:p w14:paraId="0127A969" w14:textId="77777777" w:rsidR="008A058A" w:rsidRPr="008A058A" w:rsidRDefault="008A058A" w:rsidP="003D379F">
      <w:pPr>
        <w:spacing w:before="0" w:after="0"/>
        <w:rPr>
          <w:rFonts w:eastAsia="Times New Roman"/>
          <w:szCs w:val="24"/>
          <w:lang w:val="hy-AM"/>
        </w:rPr>
      </w:pPr>
      <w:r w:rsidRPr="00BF7D8F">
        <w:rPr>
          <w:rFonts w:eastAsia="Times New Roman"/>
          <w:szCs w:val="24"/>
          <w:lang w:val="hy-AM"/>
        </w:rPr>
        <w:t>Նույնաբովանդակ անհամապատասխանություն  արձանագրվել է նաև ՊԵԿ-ում    նախորդ  հաշվեքննությունների շրջանակներում և  հաշվեքննությամբ ընդգրկվող ժամանակահատվածի ավարտի դրությամբ հարցը մնում է չկարգավորված։</w:t>
      </w:r>
      <w:r w:rsidRPr="008A058A">
        <w:rPr>
          <w:rFonts w:eastAsia="Times New Roman"/>
          <w:szCs w:val="24"/>
          <w:lang w:val="hy-AM"/>
        </w:rPr>
        <w:t xml:space="preserve">  </w:t>
      </w:r>
    </w:p>
    <w:p w14:paraId="699AD78A" w14:textId="77777777" w:rsidR="005D101C" w:rsidRDefault="005D101C" w:rsidP="008A058A">
      <w:pPr>
        <w:spacing w:after="0"/>
        <w:rPr>
          <w:rFonts w:eastAsia="Calibri"/>
          <w:b/>
          <w:i/>
          <w:szCs w:val="24"/>
          <w:lang w:val="hy-AM"/>
        </w:rPr>
      </w:pPr>
      <w:r w:rsidRPr="000F123F">
        <w:rPr>
          <w:rFonts w:eastAsia="Calibri"/>
          <w:b/>
          <w:i/>
          <w:szCs w:val="24"/>
          <w:lang w:val="hy-AM"/>
        </w:rPr>
        <w:t>Հաշվեքննության օբյեկտի արձագանքը</w:t>
      </w:r>
    </w:p>
    <w:p w14:paraId="744BC463"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Կոմիտեն ևս մեկ անգամ հայտնում է, որ չի ընդունում հաշվեքննողի կողմից բյուջետային ծախսերի տնտեսագիտական դասակարգման «Տրանսպորտային նյութեր» հոդվածով ներկա</w:t>
      </w:r>
      <w:r w:rsidRPr="00A90027">
        <w:rPr>
          <w:rFonts w:eastAsiaTheme="minorHAnsi" w:cstheme="minorBidi"/>
          <w:szCs w:val="24"/>
          <w:lang w:val="hy-AM"/>
        </w:rPr>
        <w:softHyphen/>
        <w:t>յացված անհամապա</w:t>
      </w:r>
      <w:r w:rsidRPr="00A90027">
        <w:rPr>
          <w:rFonts w:eastAsiaTheme="minorHAnsi" w:cstheme="minorBidi"/>
          <w:szCs w:val="24"/>
          <w:lang w:val="hy-AM"/>
        </w:rPr>
        <w:softHyphen/>
        <w:t>տասխա</w:t>
      </w:r>
      <w:r w:rsidRPr="00A90027">
        <w:rPr>
          <w:rFonts w:eastAsiaTheme="minorHAnsi" w:cstheme="minorBidi"/>
          <w:szCs w:val="24"/>
          <w:lang w:val="hy-AM"/>
        </w:rPr>
        <w:softHyphen/>
        <w:t>նու</w:t>
      </w:r>
      <w:r w:rsidRPr="00A90027">
        <w:rPr>
          <w:rFonts w:eastAsiaTheme="minorHAnsi" w:cstheme="minorBidi"/>
          <w:szCs w:val="24"/>
          <w:lang w:val="hy-AM"/>
        </w:rPr>
        <w:softHyphen/>
        <w:t>թյունների վերաբերյալ մեկնաբանությունները և պնդում է իր դիրքորոշումը: Այն է.</w:t>
      </w:r>
    </w:p>
    <w:p w14:paraId="19BA0DEB"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Կոմիտեի ծառայողական ավտոմեքենաների համար ուղեթերթիկը լրացվում է Կոմիտեի  նախագահի 2018 թվականի օգոստոսի 2-ի «Հայաստանի Հանրապետության պետական եկա</w:t>
      </w:r>
      <w:r w:rsidRPr="00A90027">
        <w:rPr>
          <w:rFonts w:eastAsiaTheme="minorHAnsi" w:cstheme="minorBidi"/>
          <w:szCs w:val="24"/>
          <w:lang w:val="hy-AM"/>
        </w:rPr>
        <w:softHyphen/>
        <w:t>մուտների կոմիտեի ծառայողական ավտոմեքենաներին հատկացվող վառելիքի տրամադրման կարգը, սահմանաքանակները, ծախսի նորմաները, տրամադրվող լրացուցիչ վառելիքի զեկու</w:t>
      </w:r>
      <w:r w:rsidRPr="00A90027">
        <w:rPr>
          <w:rFonts w:eastAsiaTheme="minorHAnsi" w:cstheme="minorBidi"/>
          <w:szCs w:val="24"/>
          <w:lang w:val="hy-AM"/>
        </w:rPr>
        <w:softHyphen/>
        <w:t>ցագրի ձևը, մարդատար (բեռնատար) ավտոմեքենայի ուղեթերթիկը, տրամադրված վառելիքի ծախսի հաշվետվությունը և լիակատար նյութական պատասխանատվության պայմանագիրը հաստատելու մասին» թիվ 485-Ա հրամանի Հավելված 5-ի համաձայն, իսկ ֆինանսահաշվային փաստաթղթերի հանձնումը և ընդունումը կատարվում է գրանցամատյաններում` լրացնելով անհրաժեշտ բոլոր տվյալները։</w:t>
      </w:r>
    </w:p>
    <w:p w14:paraId="11B49EE8"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lastRenderedPageBreak/>
        <w:t>Ինչ վերաբերում է տրանսպորտային միջոցների ծախսերը ՀՀ ֆինանսների նախարարի 2014 թվականի հոկտեմբերի 24-ի N 725-Ն հրամանով (այսուհետ` Հրաման) հաստատված ստանդարտ</w:t>
      </w:r>
      <w:r w:rsidRPr="00A90027">
        <w:rPr>
          <w:rFonts w:eastAsiaTheme="minorHAnsi" w:cstheme="minorBidi"/>
          <w:szCs w:val="24"/>
          <w:lang w:val="hy-AM"/>
        </w:rPr>
        <w:softHyphen/>
        <w:t>ներով իրականացմանը, ապա հայտնում ենք, որ Կոմիտեի հաշվեկշռում առկա տրանսպորտային միջոցները շահագործվում են ՀՀ-ի ողջ տարածքով և վերջիններիս նկատ</w:t>
      </w:r>
      <w:r w:rsidRPr="00A90027">
        <w:rPr>
          <w:rFonts w:eastAsiaTheme="minorHAnsi" w:cstheme="minorBidi"/>
          <w:szCs w:val="24"/>
          <w:lang w:val="hy-AM"/>
        </w:rPr>
        <w:softHyphen/>
        <w:t>մամբ Հրամանի կիրառումն իրատեսական չէ, քանի որ թվով 22 ստորաբաժանումների վառելիքի կտրոնները տրամադրվում է լիազորված անձանց համապատասխան ստորաբաժան</w:t>
      </w:r>
      <w:r w:rsidRPr="00A90027">
        <w:rPr>
          <w:rFonts w:eastAsiaTheme="minorHAnsi" w:cstheme="minorBidi"/>
          <w:szCs w:val="24"/>
          <w:lang w:val="hy-AM"/>
        </w:rPr>
        <w:softHyphen/>
        <w:t>ման ղեկա</w:t>
      </w:r>
      <w:r w:rsidRPr="00A90027">
        <w:rPr>
          <w:rFonts w:eastAsiaTheme="minorHAnsi" w:cstheme="minorBidi"/>
          <w:szCs w:val="24"/>
          <w:lang w:val="hy-AM"/>
        </w:rPr>
        <w:softHyphen/>
        <w:t>վարի կողմից տրված լիազորագրի հիման վրա, իսկ Կոմիտեի նախագահի 2018 թվականի օգոստոսի 2-ի թիվ 485-Ա հրամանի N 5 Հավելվածը համապատասխանեցված է «Հանրային հատվածի կազմակերպությունների հաշվապահական հաշվառման մասին» ՀՀ օրենքի 11-րդ հոդվածի 2-րդ մասի 6-րդ և 7-րդ կետերի պահանջներին:</w:t>
      </w:r>
    </w:p>
    <w:p w14:paraId="5940D60A" w14:textId="77777777" w:rsidR="00A90027" w:rsidRPr="00A90027" w:rsidRDefault="00A90027" w:rsidP="00A90027">
      <w:pPr>
        <w:spacing w:before="0" w:after="0" w:line="240" w:lineRule="auto"/>
        <w:ind w:firstLine="567"/>
        <w:rPr>
          <w:rFonts w:eastAsiaTheme="minorHAnsi" w:cstheme="minorBidi"/>
          <w:b/>
          <w:szCs w:val="24"/>
          <w:lang w:val="hy-AM"/>
        </w:rPr>
      </w:pPr>
      <w:r w:rsidRPr="00A90027">
        <w:rPr>
          <w:rFonts w:eastAsiaTheme="minorHAnsi" w:cstheme="minorBidi"/>
          <w:b/>
          <w:szCs w:val="24"/>
          <w:lang w:val="hy-AM"/>
        </w:rPr>
        <w:t>Ելնելով վերոգրյալից հայտնում ենք, որ Կոմիտեի կողմից բյուջետային ծախսերի տնտեսա</w:t>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r>
      <w:r w:rsidRPr="00A90027">
        <w:rPr>
          <w:rFonts w:eastAsiaTheme="minorHAnsi" w:cstheme="minorBidi"/>
          <w:b/>
          <w:szCs w:val="24"/>
          <w:lang w:val="hy-AM"/>
        </w:rPr>
        <w:softHyphen/>
        <w:t>գիտական դասակարգման «Տրանսպորտային նյութեր» հոդվածով կատարված ծախսե</w:t>
      </w:r>
      <w:r w:rsidRPr="00A90027">
        <w:rPr>
          <w:rFonts w:eastAsiaTheme="minorHAnsi" w:cstheme="minorBidi"/>
          <w:b/>
          <w:szCs w:val="24"/>
          <w:lang w:val="hy-AM"/>
        </w:rPr>
        <w:softHyphen/>
        <w:t>րի գծով անհամապատասխանության հիմքեր չկան:</w:t>
      </w:r>
    </w:p>
    <w:p w14:paraId="27601A79"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t>Միաժամանակ, վերո</w:t>
      </w:r>
      <w:r w:rsidRPr="00A90027">
        <w:rPr>
          <w:rFonts w:eastAsiaTheme="minorHAnsi" w:cstheme="minorBidi"/>
          <w:szCs w:val="24"/>
          <w:lang w:val="hy-AM"/>
        </w:rPr>
        <w:softHyphen/>
        <w:t>գրյալ հարցի կապակցությամբ ներկայացվում է ՀՀ ֆինանսների նախարարության դիրքորոշումը (կցվում է)` համաձայն որի Կոմիտեն կարող է չօգտագործել Հրամանով սահմանված փաստաթուղթը, այլ ինքնուրույն սահմանի հաշվառման փաստա</w:t>
      </w:r>
      <w:r w:rsidRPr="00A90027">
        <w:rPr>
          <w:rFonts w:eastAsiaTheme="minorHAnsi" w:cstheme="minorBidi"/>
          <w:szCs w:val="24"/>
          <w:lang w:val="hy-AM"/>
        </w:rPr>
        <w:softHyphen/>
        <w:t>թղթե</w:t>
      </w:r>
      <w:r w:rsidRPr="00A90027">
        <w:rPr>
          <w:rFonts w:eastAsiaTheme="minorHAnsi" w:cstheme="minorBidi"/>
          <w:szCs w:val="24"/>
          <w:lang w:val="hy-AM"/>
        </w:rPr>
        <w:softHyphen/>
        <w:t>րի օրինա</w:t>
      </w:r>
      <w:r w:rsidRPr="00A90027">
        <w:rPr>
          <w:rFonts w:eastAsiaTheme="minorHAnsi" w:cstheme="minorBidi"/>
          <w:szCs w:val="24"/>
          <w:lang w:val="hy-AM"/>
        </w:rPr>
        <w:softHyphen/>
        <w:t>կելի ձև, որտեղ հստակ նշված կլինի այն ցուցանիշը, որի հիման վրա որոշվում է ծախսված վառելիքի քանակը: Տեղեկացնում ենք, որ Կոմիտեի կողմից սահմանված փաստա</w:t>
      </w:r>
      <w:r w:rsidRPr="00A90027">
        <w:rPr>
          <w:rFonts w:eastAsiaTheme="minorHAnsi" w:cstheme="minorBidi"/>
          <w:szCs w:val="24"/>
          <w:lang w:val="hy-AM"/>
        </w:rPr>
        <w:softHyphen/>
        <w:t>թղթի օրինա</w:t>
      </w:r>
      <w:r w:rsidRPr="00A90027">
        <w:rPr>
          <w:rFonts w:eastAsiaTheme="minorHAnsi" w:cstheme="minorBidi"/>
          <w:szCs w:val="24"/>
          <w:lang w:val="hy-AM"/>
        </w:rPr>
        <w:softHyphen/>
        <w:t>կելի ձևում այդպիսի ցուցանիշ է հանդիսանում տրանսպորտային միջոցի տեխնի</w:t>
      </w:r>
      <w:r w:rsidRPr="00A90027">
        <w:rPr>
          <w:rFonts w:eastAsiaTheme="minorHAnsi" w:cstheme="minorBidi"/>
          <w:szCs w:val="24"/>
          <w:lang w:val="hy-AM"/>
        </w:rPr>
        <w:softHyphen/>
        <w:t>կական անձնագրով սահմանված ցուցանիշները (վառելիքի ծախսը յուրաքանչյուր 100 կմ-ի համար) և դրան համապատասխան անցած ճանապարհը:</w:t>
      </w:r>
    </w:p>
    <w:p w14:paraId="2CE44975" w14:textId="77777777" w:rsidR="00A90027" w:rsidRPr="00A90027" w:rsidRDefault="00A90027" w:rsidP="00A90027">
      <w:pPr>
        <w:spacing w:before="0" w:after="0" w:line="240" w:lineRule="auto"/>
        <w:ind w:firstLine="567"/>
        <w:rPr>
          <w:rFonts w:eastAsiaTheme="minorHAnsi" w:cstheme="minorBidi"/>
          <w:b/>
          <w:i/>
          <w:szCs w:val="24"/>
          <w:lang w:val="hy-AM"/>
        </w:rPr>
      </w:pPr>
      <w:r w:rsidRPr="00A90027">
        <w:rPr>
          <w:rFonts w:eastAsiaTheme="minorHAnsi" w:cstheme="minorBidi"/>
          <w:b/>
          <w:i/>
          <w:szCs w:val="24"/>
          <w:lang w:val="hy-AM"/>
        </w:rPr>
        <w:t>Կոմիտեի կողմից նույնաբովանդակ պարզաբանում տրամադրվել է 1-ին եռամսյակի,    1-ին կիսամյակի և ինն ամիսների հաշվեքննությունների շրջանակներում:</w:t>
      </w:r>
    </w:p>
    <w:p w14:paraId="4CE2DB81" w14:textId="77777777" w:rsidR="00A90027" w:rsidRPr="00BA769F" w:rsidRDefault="00BF7D8F" w:rsidP="00A90027">
      <w:pPr>
        <w:spacing w:before="0" w:after="0" w:line="240" w:lineRule="auto"/>
        <w:ind w:firstLine="567"/>
        <w:rPr>
          <w:rFonts w:eastAsiaTheme="minorHAnsi" w:cstheme="minorBidi"/>
          <w:szCs w:val="24"/>
          <w:lang w:val="hy-AM"/>
        </w:rPr>
      </w:pPr>
      <w:r w:rsidRPr="00BA769F">
        <w:rPr>
          <w:rFonts w:eastAsiaTheme="minorHAnsi" w:cstheme="minorBidi"/>
          <w:szCs w:val="24"/>
          <w:lang w:val="hy-AM"/>
        </w:rPr>
        <w:t xml:space="preserve"> </w:t>
      </w:r>
    </w:p>
    <w:p w14:paraId="360BC113" w14:textId="77777777" w:rsidR="005D101C" w:rsidRPr="000F123F" w:rsidRDefault="005D101C" w:rsidP="005D101C">
      <w:pPr>
        <w:spacing w:before="0" w:after="0"/>
        <w:rPr>
          <w:rFonts w:eastAsia="Calibri"/>
          <w:b/>
          <w:i/>
          <w:szCs w:val="24"/>
          <w:lang w:val="hy-AM"/>
        </w:rPr>
      </w:pPr>
      <w:r w:rsidRPr="000F123F">
        <w:rPr>
          <w:rFonts w:eastAsia="Calibri"/>
          <w:b/>
          <w:i/>
          <w:szCs w:val="24"/>
          <w:lang w:val="hy-AM"/>
        </w:rPr>
        <w:t>Հաշվեքննողների մեկնաբանությունը</w:t>
      </w:r>
    </w:p>
    <w:p w14:paraId="2F68F57C" w14:textId="413C8684" w:rsidR="005B54FF" w:rsidRPr="005B54FF" w:rsidRDefault="005D101C" w:rsidP="005B54FF">
      <w:pPr>
        <w:spacing w:before="0" w:after="0"/>
        <w:ind w:firstLine="567"/>
        <w:rPr>
          <w:rFonts w:eastAsiaTheme="minorHAnsi" w:cstheme="minorBidi"/>
          <w:szCs w:val="24"/>
          <w:lang w:val="hy-AM"/>
        </w:rPr>
      </w:pPr>
      <w:r w:rsidRPr="00BF7D8F">
        <w:rPr>
          <w:rFonts w:eastAsia="Times New Roman" w:cs="Arial"/>
          <w:szCs w:val="24"/>
          <w:lang w:val="hy-AM" w:bidi="en-US"/>
        </w:rPr>
        <w:t xml:space="preserve">Նույնաբովանդակ պարզաբանումներ ներկայացվել է նաև նախորդ հաշվեքննության շրջանակներում: Տվյալ </w:t>
      </w:r>
      <w:r w:rsidRPr="00BF7D8F">
        <w:rPr>
          <w:szCs w:val="24"/>
          <w:lang w:val="hy-AM"/>
        </w:rPr>
        <w:t xml:space="preserve">հարցի կապակցությամբ ՀՀ ֆինանսների նախարարության կողմից ներկայացված դիրքորոշումը, բխում է ծախսը ճանաչելու  համար Ստանդարտով սահմանված պահանջներից՝ այսինքն վառելիքի ծախսը պետք է հաշվարկվի  տրանսպորտային միջոցի փաստացի </w:t>
      </w:r>
      <w:r w:rsidRPr="00BF7D8F">
        <w:rPr>
          <w:rFonts w:eastAsia="Times New Roman"/>
          <w:color w:val="000000"/>
          <w:szCs w:val="24"/>
          <w:shd w:val="clear" w:color="auto" w:fill="FFFFFF"/>
          <w:lang w:val="hy-AM"/>
        </w:rPr>
        <w:t>վազքի ցուցիչների ցուցմունքների հիման վրա:</w:t>
      </w:r>
      <w:r w:rsidRPr="000F123F">
        <w:rPr>
          <w:rFonts w:eastAsia="Times New Roman"/>
          <w:color w:val="000000"/>
          <w:szCs w:val="24"/>
          <w:shd w:val="clear" w:color="auto" w:fill="FFFFFF"/>
          <w:lang w:val="hy-AM"/>
        </w:rPr>
        <w:t xml:space="preserve">  </w:t>
      </w:r>
      <w:r w:rsidR="005B54FF" w:rsidRPr="005B54FF">
        <w:rPr>
          <w:rFonts w:eastAsia="Times New Roman"/>
          <w:color w:val="000000"/>
          <w:szCs w:val="24"/>
          <w:shd w:val="clear" w:color="auto" w:fill="FFFFFF"/>
          <w:lang w:val="hy-AM"/>
        </w:rPr>
        <w:t>Ինչ վերաբերում է «</w:t>
      </w:r>
      <w:r w:rsidR="005B54FF" w:rsidRPr="00A90027">
        <w:rPr>
          <w:rFonts w:eastAsiaTheme="minorHAnsi" w:cstheme="minorBidi"/>
          <w:szCs w:val="24"/>
          <w:lang w:val="hy-AM"/>
        </w:rPr>
        <w:t>Կոմիտեի կողմից սահմանված փաստա</w:t>
      </w:r>
      <w:r w:rsidR="005B54FF" w:rsidRPr="00A90027">
        <w:rPr>
          <w:rFonts w:eastAsiaTheme="minorHAnsi" w:cstheme="minorBidi"/>
          <w:szCs w:val="24"/>
          <w:lang w:val="hy-AM"/>
        </w:rPr>
        <w:softHyphen/>
        <w:t>թղթի օրինա</w:t>
      </w:r>
      <w:r w:rsidR="005B54FF" w:rsidRPr="00A90027">
        <w:rPr>
          <w:rFonts w:eastAsiaTheme="minorHAnsi" w:cstheme="minorBidi"/>
          <w:szCs w:val="24"/>
          <w:lang w:val="hy-AM"/>
        </w:rPr>
        <w:softHyphen/>
        <w:t>կելի ձևում այդպիսի ցուցանիշ է հանդիսանում տրանսպորտային միջոցի տեխնի</w:t>
      </w:r>
      <w:r w:rsidR="005B54FF" w:rsidRPr="00A90027">
        <w:rPr>
          <w:rFonts w:eastAsiaTheme="minorHAnsi" w:cstheme="minorBidi"/>
          <w:szCs w:val="24"/>
          <w:lang w:val="hy-AM"/>
        </w:rPr>
        <w:softHyphen/>
        <w:t xml:space="preserve">կական անձնագրով </w:t>
      </w:r>
      <w:r w:rsidR="005B54FF" w:rsidRPr="00A90027">
        <w:rPr>
          <w:rFonts w:eastAsiaTheme="minorHAnsi" w:cstheme="minorBidi"/>
          <w:szCs w:val="24"/>
          <w:lang w:val="hy-AM"/>
        </w:rPr>
        <w:lastRenderedPageBreak/>
        <w:t>սահմանված ցուցանիշները (վառելիքի ծախսը յուրաքանչյուր 100 կմ-ի համար) և դրան համապատասխան անցած ճանապարհը</w:t>
      </w:r>
      <w:r w:rsidR="005B54FF" w:rsidRPr="005B54FF">
        <w:rPr>
          <w:rFonts w:eastAsiaTheme="minorHAnsi" w:cstheme="minorBidi"/>
          <w:szCs w:val="24"/>
          <w:lang w:val="hy-AM"/>
        </w:rPr>
        <w:t>»</w:t>
      </w:r>
      <w:r w:rsidR="005B54FF">
        <w:rPr>
          <w:rFonts w:eastAsiaTheme="minorHAnsi" w:cstheme="minorBidi"/>
          <w:szCs w:val="24"/>
          <w:lang w:val="hy-AM"/>
        </w:rPr>
        <w:t xml:space="preserve"> </w:t>
      </w:r>
      <w:r w:rsidR="005B54FF" w:rsidRPr="005B54FF">
        <w:rPr>
          <w:rFonts w:eastAsiaTheme="minorHAnsi" w:cstheme="minorBidi"/>
          <w:szCs w:val="24"/>
          <w:lang w:val="hy-AM"/>
        </w:rPr>
        <w:t xml:space="preserve">հաշվեքննության օբյեկտի կողմից ներկայացված պարզաբանմանը, պետք է նշել, որ անցած ճանապարհը հաշվարկվում է տրանսպորտային միջոցների փաստացի </w:t>
      </w:r>
      <w:r w:rsidR="00913046">
        <w:rPr>
          <w:rFonts w:eastAsiaTheme="minorHAnsi" w:cstheme="minorBidi"/>
          <w:szCs w:val="24"/>
          <w:lang w:val="hy-AM"/>
        </w:rPr>
        <w:t>վա</w:t>
      </w:r>
      <w:r w:rsidR="005B54FF" w:rsidRPr="005B54FF">
        <w:rPr>
          <w:rFonts w:eastAsiaTheme="minorHAnsi" w:cstheme="minorBidi"/>
          <w:szCs w:val="24"/>
          <w:lang w:val="hy-AM"/>
        </w:rPr>
        <w:t xml:space="preserve">զքի ցուցիչների ցուցմունքների հիման վրա: </w:t>
      </w:r>
    </w:p>
    <w:p w14:paraId="7BFACE3D" w14:textId="714BEFBE" w:rsidR="005D101C" w:rsidRPr="005B54FF" w:rsidRDefault="005D101C" w:rsidP="005D101C">
      <w:pPr>
        <w:shd w:val="clear" w:color="auto" w:fill="FFFFFF"/>
        <w:spacing w:before="0" w:after="0"/>
        <w:ind w:firstLine="375"/>
        <w:rPr>
          <w:rFonts w:eastAsia="Times New Roman"/>
          <w:color w:val="000000"/>
          <w:szCs w:val="24"/>
          <w:shd w:val="clear" w:color="auto" w:fill="FFFFFF"/>
          <w:lang w:val="hy-AM"/>
        </w:rPr>
      </w:pPr>
    </w:p>
    <w:p w14:paraId="5FC70048" w14:textId="77777777" w:rsidR="005D101C" w:rsidRDefault="005D101C" w:rsidP="005D101C">
      <w:pPr>
        <w:shd w:val="clear" w:color="auto" w:fill="FFFFFF"/>
        <w:spacing w:before="0" w:after="0"/>
        <w:ind w:firstLine="375"/>
        <w:rPr>
          <w:rFonts w:eastAsia="Times New Roman"/>
          <w:color w:val="000000"/>
          <w:szCs w:val="24"/>
          <w:shd w:val="clear" w:color="auto" w:fill="FFFFFF"/>
          <w:lang w:val="hy-AM"/>
        </w:rPr>
      </w:pPr>
    </w:p>
    <w:p w14:paraId="7062A963" w14:textId="77777777" w:rsidR="008A058A" w:rsidRPr="008A058A" w:rsidRDefault="008A058A" w:rsidP="008A058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24" w:name="_Toc164676869"/>
      <w:r w:rsidRPr="008A058A">
        <w:rPr>
          <w:rFonts w:eastAsiaTheme="majorEastAsia" w:cstheme="majorBidi"/>
          <w:b/>
          <w:i/>
          <w:color w:val="000000" w:themeColor="text1"/>
          <w:sz w:val="28"/>
          <w:szCs w:val="28"/>
          <w:lang w:val="hy-AM"/>
        </w:rPr>
        <w:t>1023-11001 «Հարկային և մաքսային ծառայություններ»  միջոցառման շրջանակներում 426900՝ «Հատուկ նպատակային այլ նյութեր» տնտեսագիտական դասակարգման հոդվածով կատարված ծախսեր</w:t>
      </w:r>
      <w:bookmarkEnd w:id="24"/>
    </w:p>
    <w:p w14:paraId="14093600" w14:textId="77777777" w:rsidR="008A058A" w:rsidRDefault="008A058A" w:rsidP="008A058A">
      <w:pPr>
        <w:spacing w:before="0" w:after="160"/>
        <w:rPr>
          <w:rFonts w:cs="Sylfaen"/>
          <w:i/>
          <w:color w:val="000000"/>
          <w:szCs w:val="24"/>
          <w:lang w:val="hy-AM"/>
        </w:rPr>
      </w:pPr>
    </w:p>
    <w:p w14:paraId="40695B5E" w14:textId="77777777" w:rsidR="008A058A" w:rsidRPr="008A058A" w:rsidRDefault="008A058A" w:rsidP="008A058A">
      <w:pPr>
        <w:spacing w:before="0" w:after="0"/>
        <w:ind w:firstLine="644"/>
        <w:rPr>
          <w:rFonts w:eastAsiaTheme="minorHAnsi" w:cs="Sylfaen"/>
          <w:b/>
          <w:i/>
          <w:color w:val="000000" w:themeColor="text1"/>
          <w:szCs w:val="24"/>
          <w:lang w:val="hy-AM"/>
        </w:rPr>
      </w:pPr>
      <w:r w:rsidRPr="008A058A">
        <w:rPr>
          <w:rFonts w:eastAsiaTheme="minorHAnsi" w:cs="Sylfaen"/>
          <w:b/>
          <w:i/>
          <w:color w:val="000000" w:themeColor="text1"/>
          <w:szCs w:val="24"/>
          <w:lang w:val="hy-AM"/>
        </w:rPr>
        <w:t xml:space="preserve">Առկա է անհամապատասխանություն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որոշմամբ հաստատված հավելված 1-ի 8-րդ կետով սահմանված պահանջի նկատմամբ: </w:t>
      </w:r>
    </w:p>
    <w:p w14:paraId="24E2F5EC" w14:textId="4720632F" w:rsidR="008A058A" w:rsidRPr="008A058A" w:rsidRDefault="008A058A" w:rsidP="008A058A">
      <w:pPr>
        <w:shd w:val="clear" w:color="auto" w:fill="FFFFFF"/>
        <w:spacing w:before="0" w:after="0"/>
        <w:ind w:firstLine="375"/>
        <w:rPr>
          <w:rFonts w:eastAsia="Times New Roman"/>
          <w:color w:val="000000"/>
          <w:szCs w:val="24"/>
          <w:lang w:val="hy-AM" w:eastAsia="ru-RU"/>
        </w:rPr>
      </w:pPr>
      <w:r w:rsidRPr="008A058A">
        <w:rPr>
          <w:rFonts w:ascii="Arial Unicode" w:eastAsia="Times New Roman" w:hAnsi="Arial Unicode"/>
          <w:b/>
          <w:bCs/>
          <w:color w:val="000000"/>
          <w:sz w:val="21"/>
          <w:szCs w:val="21"/>
          <w:lang w:val="hy-AM" w:eastAsia="ru-RU"/>
        </w:rPr>
        <w:t xml:space="preserve"> </w:t>
      </w:r>
      <w:r w:rsidRPr="008A058A">
        <w:rPr>
          <w:rFonts w:eastAsiaTheme="minorHAnsi" w:cs="Sylfaen"/>
          <w:color w:val="000000" w:themeColor="text1"/>
          <w:szCs w:val="24"/>
          <w:lang w:val="hy-AM"/>
        </w:rPr>
        <w:t xml:space="preserve"> </w:t>
      </w:r>
      <w:r w:rsidRPr="008A058A">
        <w:rPr>
          <w:rFonts w:eastAsiaTheme="minorHAnsi" w:cstheme="minorBidi"/>
          <w:color w:val="000000" w:themeColor="text1"/>
          <w:szCs w:val="24"/>
          <w:lang w:val="hy-AM"/>
        </w:rPr>
        <w:t xml:space="preserve">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որոշման հավելված  1-ի 8-րդ կետ</w:t>
      </w:r>
      <w:r w:rsidR="00B11B30">
        <w:rPr>
          <w:rFonts w:eastAsiaTheme="minorHAnsi" w:cstheme="minorBidi"/>
          <w:color w:val="000000" w:themeColor="text1"/>
          <w:szCs w:val="24"/>
          <w:lang w:val="hy-AM"/>
        </w:rPr>
        <w:t>ի համաձայն՝</w:t>
      </w:r>
      <w:r w:rsidRPr="008A058A">
        <w:rPr>
          <w:rFonts w:eastAsiaTheme="minorHAnsi" w:cstheme="minorBidi"/>
          <w:color w:val="000000" w:themeColor="text1"/>
          <w:szCs w:val="24"/>
          <w:lang w:val="hy-AM"/>
        </w:rPr>
        <w:t xml:space="preserve">   հարկային մարմնի պաշտոնատար անձի կողմից հսկիչ գնում կատարելու պահից հսկիչ գնմամբ ձեռք բերված և չվերադարձված` շուտ փչացող (որոնց պահպանման ժամկետը սանիտարական կանոններին և նորմերին համապատասխան չի գերազանցում 72 ժամը) ապրանքները (բացառությամբ հանրային սննդի օբյեկտներում հսկիչ գնմամբ ձեռք բերված ապրանքների անմիջական սպառման դեպքերի) տնօրինվում են հարկային մարմնի ղեկավարի սահմանած կարգով: ՈՒսումնասիրությամբ պարզվել է, որ </w:t>
      </w:r>
      <w:r w:rsidRPr="008A058A">
        <w:rPr>
          <w:rFonts w:eastAsia="Times New Roman"/>
          <w:color w:val="000000"/>
          <w:szCs w:val="24"/>
          <w:lang w:val="hy-AM" w:eastAsia="ru-RU"/>
        </w:rPr>
        <w:t>հարկային մարմնի պաշտոնատար անձանց կողմից հսկիչ գնում կատարելու պահից հսկիչ գնմամբ ձեռք բերված և չվերադարձված` շուտ փչացող   ապրանքների   տնօրինման  կարգը հաստատվ</w:t>
      </w:r>
      <w:r w:rsidR="00032556">
        <w:rPr>
          <w:rFonts w:eastAsia="Times New Roman"/>
          <w:color w:val="000000"/>
          <w:szCs w:val="24"/>
          <w:lang w:val="hy-AM" w:eastAsia="ru-RU"/>
        </w:rPr>
        <w:t>ել է 2024 թվականի փետրվարի 22-ի</w:t>
      </w:r>
      <w:r w:rsidRPr="008A058A">
        <w:rPr>
          <w:rFonts w:eastAsia="Times New Roman"/>
          <w:color w:val="000000"/>
          <w:szCs w:val="24"/>
          <w:lang w:val="hy-AM" w:eastAsia="ru-RU"/>
        </w:rPr>
        <w:t xml:space="preserve"> թիվ 207-Ա հրամանով:</w:t>
      </w:r>
    </w:p>
    <w:p w14:paraId="3201313B" w14:textId="77777777" w:rsidR="008A058A" w:rsidRPr="00BF7D8F" w:rsidRDefault="008A058A" w:rsidP="008A058A">
      <w:pPr>
        <w:spacing w:before="0" w:after="0"/>
        <w:ind w:firstLine="357"/>
        <w:rPr>
          <w:szCs w:val="24"/>
          <w:lang w:val="hy-AM"/>
        </w:rPr>
      </w:pPr>
      <w:r w:rsidRPr="00BF7D8F">
        <w:rPr>
          <w:rFonts w:eastAsiaTheme="minorHAnsi" w:cs="Sylfaen"/>
          <w:color w:val="000000" w:themeColor="text1"/>
          <w:szCs w:val="24"/>
          <w:lang w:val="hy-AM"/>
        </w:rPr>
        <w:t>Նշված անհամապատասխանությունը արձանագրվել է նաև 2023 թվականի պետական բյուջեի երեք, վեց, ինն ամիսների կատարման հաշվեքննության շրջանակներում</w:t>
      </w:r>
      <w:r w:rsidR="00BF7D8F" w:rsidRPr="00BF7D8F">
        <w:rPr>
          <w:rFonts w:eastAsiaTheme="minorHAnsi" w:cs="Sylfaen"/>
          <w:color w:val="000000" w:themeColor="text1"/>
          <w:szCs w:val="24"/>
          <w:lang w:val="hy-AM"/>
        </w:rPr>
        <w:t xml:space="preserve">:  </w:t>
      </w:r>
    </w:p>
    <w:p w14:paraId="72CA7DBF" w14:textId="77777777" w:rsidR="008A058A" w:rsidRDefault="008A058A" w:rsidP="008A058A">
      <w:pPr>
        <w:spacing w:after="0"/>
        <w:rPr>
          <w:rFonts w:eastAsia="Calibri"/>
          <w:b/>
          <w:i/>
          <w:szCs w:val="24"/>
          <w:lang w:val="hy-AM"/>
        </w:rPr>
      </w:pPr>
      <w:r w:rsidRPr="000F123F">
        <w:rPr>
          <w:rFonts w:eastAsia="Calibri"/>
          <w:b/>
          <w:i/>
          <w:szCs w:val="24"/>
          <w:lang w:val="hy-AM"/>
        </w:rPr>
        <w:t>Հաշվեքննության օբյեկտի արձագանքը</w:t>
      </w:r>
    </w:p>
    <w:p w14:paraId="5D46F601" w14:textId="77777777" w:rsidR="00A90027" w:rsidRPr="00A90027" w:rsidRDefault="00A90027" w:rsidP="00A90027">
      <w:pPr>
        <w:spacing w:before="0" w:after="0" w:line="240" w:lineRule="auto"/>
        <w:ind w:firstLine="567"/>
        <w:rPr>
          <w:rFonts w:eastAsiaTheme="minorHAnsi" w:cstheme="minorBidi"/>
          <w:szCs w:val="24"/>
          <w:lang w:val="hy-AM"/>
        </w:rPr>
      </w:pPr>
      <w:r w:rsidRPr="00A90027">
        <w:rPr>
          <w:rFonts w:eastAsiaTheme="minorHAnsi" w:cstheme="minorBidi"/>
          <w:szCs w:val="24"/>
          <w:lang w:val="hy-AM"/>
        </w:rPr>
        <w:lastRenderedPageBreak/>
        <w:t>Կոմիտեն հաշվեքննողի կողմից արձանագրած անհամապատասխանությունը ընդունել է ի գիտություն և տեղեկացնում է, որ անհամապատասխանությունը կարգավորվել է Կոմիտեի նախագահի 2024 թվականի փետրվարի 22-ի N 2027-Ա հրամանով:</w:t>
      </w:r>
    </w:p>
    <w:p w14:paraId="06587AAE" w14:textId="77777777" w:rsidR="00A90027" w:rsidRPr="000F123F" w:rsidRDefault="00A90027" w:rsidP="008A058A">
      <w:pPr>
        <w:spacing w:after="0"/>
        <w:rPr>
          <w:rFonts w:eastAsia="Calibri"/>
          <w:b/>
          <w:i/>
          <w:szCs w:val="24"/>
          <w:lang w:val="hy-AM"/>
        </w:rPr>
      </w:pPr>
    </w:p>
    <w:p w14:paraId="0B67116C" w14:textId="77777777" w:rsidR="008A058A" w:rsidRPr="000F123F" w:rsidRDefault="008A058A" w:rsidP="008A058A">
      <w:pPr>
        <w:spacing w:before="0" w:after="0"/>
        <w:rPr>
          <w:rFonts w:eastAsia="Calibri"/>
          <w:b/>
          <w:i/>
          <w:szCs w:val="24"/>
          <w:lang w:val="hy-AM"/>
        </w:rPr>
      </w:pPr>
      <w:r w:rsidRPr="000F123F">
        <w:rPr>
          <w:rFonts w:eastAsia="Calibri"/>
          <w:b/>
          <w:i/>
          <w:szCs w:val="24"/>
          <w:lang w:val="hy-AM"/>
        </w:rPr>
        <w:t>Հաշվեքննողների մեկնաբանությունը</w:t>
      </w:r>
    </w:p>
    <w:p w14:paraId="0C141628" w14:textId="77777777" w:rsidR="00B30B75" w:rsidRPr="00BF7D8F" w:rsidRDefault="00B30B75" w:rsidP="00B30B75">
      <w:pPr>
        <w:spacing w:before="0" w:after="0"/>
        <w:ind w:firstLine="709"/>
        <w:rPr>
          <w:color w:val="000000" w:themeColor="text1"/>
          <w:szCs w:val="24"/>
          <w:lang w:val="hy-AM"/>
        </w:rPr>
      </w:pPr>
      <w:r w:rsidRPr="00BF7D8F">
        <w:rPr>
          <w:rFonts w:eastAsia="Times New Roman"/>
          <w:szCs w:val="24"/>
          <w:lang w:val="hy-AM"/>
        </w:rPr>
        <w:t xml:space="preserve">Հաշվեքննության օբյեկտի վերոգրյալ արձագանքն ընդունվել է ի գիտություն:  </w:t>
      </w:r>
    </w:p>
    <w:p w14:paraId="79A2BFAA" w14:textId="77777777" w:rsidR="008A058A" w:rsidRDefault="008A058A" w:rsidP="008A058A">
      <w:pPr>
        <w:shd w:val="clear" w:color="auto" w:fill="FFFFFF"/>
        <w:spacing w:before="0" w:after="0"/>
        <w:ind w:firstLine="375"/>
        <w:rPr>
          <w:rFonts w:eastAsia="Times New Roman"/>
          <w:color w:val="000000"/>
          <w:szCs w:val="24"/>
          <w:shd w:val="clear" w:color="auto" w:fill="FFFFFF"/>
          <w:lang w:val="hy-AM"/>
        </w:rPr>
      </w:pPr>
    </w:p>
    <w:p w14:paraId="5F02ACCD" w14:textId="77777777" w:rsidR="008A058A" w:rsidRDefault="008A058A" w:rsidP="005D101C">
      <w:pPr>
        <w:shd w:val="clear" w:color="auto" w:fill="FFFFFF"/>
        <w:spacing w:before="0" w:after="0"/>
        <w:ind w:firstLine="375"/>
        <w:rPr>
          <w:rFonts w:eastAsia="Times New Roman"/>
          <w:color w:val="000000"/>
          <w:szCs w:val="24"/>
          <w:shd w:val="clear" w:color="auto" w:fill="FFFFFF"/>
          <w:lang w:val="hy-AM"/>
        </w:rPr>
      </w:pPr>
    </w:p>
    <w:p w14:paraId="04AC1296" w14:textId="77777777" w:rsidR="008A058A" w:rsidRPr="00EB3A3A" w:rsidRDefault="008A058A"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25" w:name="_Toc164676871"/>
      <w:r w:rsidRPr="00EB3A3A">
        <w:rPr>
          <w:rFonts w:eastAsiaTheme="majorEastAsia" w:cstheme="majorBidi"/>
          <w:b/>
          <w:i/>
          <w:color w:val="000000" w:themeColor="text1"/>
          <w:sz w:val="28"/>
          <w:szCs w:val="28"/>
          <w:lang w:val="hy-AM"/>
        </w:rPr>
        <w:t>1023-11003 «Հարկային և մաքսային ծառայողների վերապատրաստում» միջոցառման շրջանակներում 463700 «Ընթացիկ դրամաշնորհներ պետական և համայնքային ոչ առևտրային կազմակերպություններին» տնտեսագիտական դասակարգման հոդվածով կատարված ծախսեր և ներկայացված հաշվետվություններ</w:t>
      </w:r>
      <w:bookmarkEnd w:id="25"/>
    </w:p>
    <w:p w14:paraId="5851BD5D" w14:textId="77777777" w:rsidR="008A058A" w:rsidRPr="00616586" w:rsidRDefault="008A058A" w:rsidP="008A058A">
      <w:pPr>
        <w:ind w:firstLine="360"/>
        <w:rPr>
          <w:rFonts w:eastAsiaTheme="majorEastAsia" w:cstheme="majorBidi"/>
          <w:b/>
          <w:sz w:val="28"/>
          <w:szCs w:val="28"/>
          <w:lang w:val="hy-AM"/>
        </w:rPr>
      </w:pPr>
    </w:p>
    <w:p w14:paraId="52DA6D74" w14:textId="77777777" w:rsidR="008A058A" w:rsidRPr="003D379F" w:rsidRDefault="008A058A" w:rsidP="003D379F">
      <w:pPr>
        <w:spacing w:before="0" w:after="0"/>
        <w:ind w:firstLine="720"/>
        <w:rPr>
          <w:rFonts w:eastAsia="Times New Roman"/>
          <w:b/>
          <w:i/>
          <w:szCs w:val="24"/>
          <w:lang w:val="hy-AM"/>
        </w:rPr>
      </w:pPr>
      <w:r w:rsidRPr="00550806">
        <w:rPr>
          <w:rFonts w:eastAsia="Times New Roman"/>
          <w:b/>
          <w:i/>
          <w:szCs w:val="24"/>
          <w:lang w:val="hy-AM"/>
        </w:rPr>
        <w:t xml:space="preserve">Առկա է անհամապատասխանություն </w:t>
      </w:r>
      <w:r w:rsidRPr="008A058A">
        <w:rPr>
          <w:rFonts w:eastAsia="Times New Roman"/>
          <w:b/>
          <w:i/>
          <w:szCs w:val="24"/>
          <w:lang w:val="hy-AM"/>
        </w:rPr>
        <w:t>ՊԵԿ-ի և ՀՀ ՊԵԿ «Ուսումնական կենտրոն» ՊՈԱԿ-ի միջև 2023 թվականի հունվարի 11-ին կնքված «Պետության կողմից դրամաշնորհի ձևով տրամադրվող ֆինանսական աջակցության գումարների օգտագործման մասին» թիվ 12 պայմանագրի</w:t>
      </w:r>
      <w:r>
        <w:rPr>
          <w:rFonts w:eastAsia="Times New Roman"/>
          <w:b/>
          <w:i/>
          <w:szCs w:val="24"/>
          <w:lang w:val="hy-AM"/>
        </w:rPr>
        <w:t xml:space="preserve"> </w:t>
      </w:r>
      <w:r w:rsidRPr="00602D3C">
        <w:rPr>
          <w:rFonts w:eastAsia="Times New Roman"/>
          <w:b/>
          <w:i/>
          <w:szCs w:val="24"/>
          <w:lang w:val="hy-AM"/>
        </w:rPr>
        <w:t xml:space="preserve">4.1 </w:t>
      </w:r>
      <w:r>
        <w:rPr>
          <w:rFonts w:eastAsia="Times New Roman"/>
          <w:b/>
          <w:i/>
          <w:szCs w:val="24"/>
          <w:lang w:val="hy-AM"/>
        </w:rPr>
        <w:t xml:space="preserve">կետով </w:t>
      </w:r>
      <w:r w:rsidRPr="00A33532">
        <w:rPr>
          <w:rFonts w:eastAsia="Times New Roman"/>
          <w:b/>
          <w:i/>
          <w:szCs w:val="24"/>
          <w:lang w:val="hy-AM"/>
        </w:rPr>
        <w:t xml:space="preserve"> </w:t>
      </w:r>
      <w:r>
        <w:rPr>
          <w:rFonts w:eastAsia="Times New Roman"/>
          <w:b/>
          <w:i/>
          <w:szCs w:val="24"/>
          <w:lang w:val="hy-AM"/>
        </w:rPr>
        <w:t>սահմանված պահանջներ</w:t>
      </w:r>
      <w:r w:rsidRPr="00A33532">
        <w:rPr>
          <w:rFonts w:eastAsia="Times New Roman"/>
          <w:b/>
          <w:i/>
          <w:szCs w:val="24"/>
          <w:lang w:val="hy-AM"/>
        </w:rPr>
        <w:t>ի նկատմամբ</w:t>
      </w:r>
      <w:r w:rsidRPr="00550806">
        <w:rPr>
          <w:rFonts w:eastAsia="Times New Roman"/>
          <w:b/>
          <w:i/>
          <w:szCs w:val="24"/>
          <w:lang w:val="hy-AM"/>
        </w:rPr>
        <w:t xml:space="preserve">: </w:t>
      </w:r>
    </w:p>
    <w:p w14:paraId="20A5DEB9" w14:textId="77777777" w:rsidR="00E9366C" w:rsidRPr="005D14EC" w:rsidRDefault="00E9366C" w:rsidP="003D379F">
      <w:pPr>
        <w:spacing w:before="0" w:after="0"/>
        <w:ind w:firstLine="720"/>
        <w:rPr>
          <w:rFonts w:eastAsia="Times New Roman"/>
          <w:szCs w:val="24"/>
          <w:lang w:val="hy-AM"/>
        </w:rPr>
      </w:pPr>
      <w:r w:rsidRPr="00550806">
        <w:rPr>
          <w:rFonts w:eastAsia="Times New Roman"/>
          <w:szCs w:val="24"/>
          <w:lang w:val="hy-AM"/>
        </w:rPr>
        <w:t xml:space="preserve">Պայմանագրի </w:t>
      </w:r>
      <w:r w:rsidRPr="00A33532">
        <w:rPr>
          <w:rFonts w:eastAsia="Times New Roman"/>
          <w:szCs w:val="24"/>
          <w:lang w:val="hy-AM"/>
        </w:rPr>
        <w:t>4.1</w:t>
      </w:r>
      <w:r>
        <w:rPr>
          <w:rFonts w:eastAsia="Times New Roman"/>
          <w:szCs w:val="24"/>
          <w:lang w:val="hy-AM"/>
        </w:rPr>
        <w:t xml:space="preserve">. կետով </w:t>
      </w:r>
      <w:r w:rsidRPr="00A33532">
        <w:rPr>
          <w:rFonts w:eastAsia="Times New Roman"/>
          <w:szCs w:val="24"/>
          <w:lang w:val="hy-AM"/>
        </w:rPr>
        <w:t>նախատեսվել է, որ ՀՀ կառավավարության 2022 թվակաի դեկտեմբերի 29-ի թիվ 2111-Ն որոշման 4-րդ կետի 13-րդ ենթակետի համաձայն սույն պայմանագրով նախատեսված միջոցառումների տարեկան արդյունքները ՀՀ պետական եկամուտների կոմիտեի կողմից ընդունվելուց հետո ՀՀ ՊԵԿ Ուսումնական կենտրոնը միջոցառումների իրականացման արդյունքում առաջացած տնտեսումները (խնայողությունները) պետք է վերադարձնի Հայաստանի Հանրապետության պետական բյուջե` ոչ ուշ, քան մինչև 2023 թվականի դեկ</w:t>
      </w:r>
      <w:r>
        <w:rPr>
          <w:rFonts w:eastAsia="Times New Roman"/>
          <w:szCs w:val="24"/>
          <w:lang w:val="hy-AM"/>
        </w:rPr>
        <w:t>տեմբերի 22-ը:</w:t>
      </w:r>
      <w:r w:rsidRPr="00A33532">
        <w:rPr>
          <w:rFonts w:eastAsia="Times New Roman"/>
          <w:szCs w:val="24"/>
          <w:lang w:val="hy-AM"/>
        </w:rPr>
        <w:t xml:space="preserve"> </w:t>
      </w:r>
      <w:r w:rsidR="005D14EC" w:rsidRPr="005D14EC">
        <w:rPr>
          <w:rFonts w:eastAsia="Times New Roman"/>
          <w:szCs w:val="24"/>
          <w:lang w:val="hy-AM"/>
        </w:rPr>
        <w:t xml:space="preserve"> Սակայն </w:t>
      </w:r>
      <w:r w:rsidR="005D14EC">
        <w:rPr>
          <w:rFonts w:eastAsia="Times New Roman"/>
          <w:szCs w:val="24"/>
          <w:lang w:val="hy-AM"/>
        </w:rPr>
        <w:t xml:space="preserve">տնտեսված </w:t>
      </w:r>
      <w:r w:rsidR="005D14EC" w:rsidRPr="005D14EC">
        <w:rPr>
          <w:rFonts w:eastAsia="Times New Roman"/>
          <w:szCs w:val="24"/>
          <w:lang w:val="hy-AM"/>
        </w:rPr>
        <w:t xml:space="preserve">միջոցները՝ </w:t>
      </w:r>
      <w:r w:rsidR="005D14EC" w:rsidRPr="00002C92">
        <w:rPr>
          <w:szCs w:val="24"/>
          <w:lang w:val="hy-AM"/>
        </w:rPr>
        <w:t>11,619.1</w:t>
      </w:r>
      <w:r w:rsidR="005D14EC" w:rsidRPr="003D379F">
        <w:rPr>
          <w:szCs w:val="24"/>
          <w:lang w:val="hy-AM"/>
        </w:rPr>
        <w:t>0</w:t>
      </w:r>
      <w:r w:rsidR="005D14EC" w:rsidRPr="00002C92">
        <w:rPr>
          <w:szCs w:val="24"/>
          <w:lang w:val="hy-AM"/>
        </w:rPr>
        <w:t xml:space="preserve"> հազ. դրամ</w:t>
      </w:r>
      <w:r w:rsidR="005D14EC" w:rsidRPr="005D14EC">
        <w:rPr>
          <w:szCs w:val="24"/>
          <w:lang w:val="hy-AM"/>
        </w:rPr>
        <w:t xml:space="preserve"> գումարի չափով</w:t>
      </w:r>
      <w:r w:rsidR="005D14EC" w:rsidRPr="005D14EC">
        <w:rPr>
          <w:rFonts w:eastAsia="Times New Roman"/>
          <w:szCs w:val="24"/>
          <w:lang w:val="hy-AM"/>
        </w:rPr>
        <w:t xml:space="preserve"> չի վերադարձվել ՀՀ պետական բյուջե: </w:t>
      </w:r>
    </w:p>
    <w:p w14:paraId="165E220C" w14:textId="77777777" w:rsidR="008A058A" w:rsidRPr="00C010C1" w:rsidRDefault="008A058A" w:rsidP="003D379F">
      <w:pPr>
        <w:spacing w:before="0" w:after="0"/>
        <w:ind w:firstLine="360"/>
        <w:rPr>
          <w:szCs w:val="24"/>
          <w:lang w:val="hy-AM"/>
        </w:rPr>
      </w:pPr>
      <w:r w:rsidRPr="004A5126">
        <w:rPr>
          <w:szCs w:val="24"/>
          <w:lang w:val="hy-AM"/>
        </w:rPr>
        <w:lastRenderedPageBreak/>
        <w:t>ՊԵԿ նախագահի</w:t>
      </w:r>
      <w:r>
        <w:rPr>
          <w:szCs w:val="24"/>
          <w:lang w:val="hy-AM"/>
        </w:rPr>
        <w:t xml:space="preserve"> 2022</w:t>
      </w:r>
      <w:r w:rsidRPr="004A5126">
        <w:rPr>
          <w:szCs w:val="24"/>
          <w:lang w:val="hy-AM"/>
        </w:rPr>
        <w:t xml:space="preserve"> թվականի դեկտեմբերի</w:t>
      </w:r>
      <w:r>
        <w:rPr>
          <w:szCs w:val="24"/>
          <w:lang w:val="hy-AM"/>
        </w:rPr>
        <w:t xml:space="preserve"> 23-</w:t>
      </w:r>
      <w:r w:rsidRPr="004A5126">
        <w:rPr>
          <w:szCs w:val="24"/>
          <w:lang w:val="hy-AM"/>
        </w:rPr>
        <w:t>ի  ՀՀ ՊԵԿ «Ուսումնական կենտրոն</w:t>
      </w:r>
      <w:r w:rsidRPr="009A53EF">
        <w:rPr>
          <w:szCs w:val="24"/>
          <w:lang w:val="hy-AM"/>
        </w:rPr>
        <w:t xml:space="preserve">» </w:t>
      </w:r>
      <w:r w:rsidRPr="004A5126">
        <w:rPr>
          <w:szCs w:val="24"/>
          <w:lang w:val="hy-AM"/>
        </w:rPr>
        <w:t>ՊՈԱԿ-ի</w:t>
      </w:r>
      <w:r>
        <w:rPr>
          <w:szCs w:val="24"/>
          <w:lang w:val="hy-AM"/>
        </w:rPr>
        <w:t xml:space="preserve"> /</w:t>
      </w:r>
      <w:r w:rsidRPr="004A5126">
        <w:rPr>
          <w:szCs w:val="24"/>
          <w:lang w:val="hy-AM"/>
        </w:rPr>
        <w:t>այսուհետ</w:t>
      </w:r>
      <w:r w:rsidRPr="00550806">
        <w:rPr>
          <w:szCs w:val="24"/>
          <w:lang w:val="hy-AM"/>
        </w:rPr>
        <w:t xml:space="preserve">՝ ՊՈԱԿ/  </w:t>
      </w:r>
      <w:r>
        <w:rPr>
          <w:szCs w:val="24"/>
          <w:lang w:val="hy-AM"/>
        </w:rPr>
        <w:t>2023</w:t>
      </w:r>
      <w:r w:rsidRPr="004A5126">
        <w:rPr>
          <w:szCs w:val="24"/>
          <w:lang w:val="hy-AM"/>
        </w:rPr>
        <w:t xml:space="preserve"> թվականի տարեկան ծրագրերը հաստատելու մասին</w:t>
      </w:r>
      <w:r w:rsidRPr="009A53EF">
        <w:rPr>
          <w:szCs w:val="24"/>
          <w:lang w:val="hy-AM"/>
        </w:rPr>
        <w:t>»</w:t>
      </w:r>
      <w:r w:rsidRPr="004A5126">
        <w:rPr>
          <w:szCs w:val="24"/>
          <w:lang w:val="hy-AM"/>
        </w:rPr>
        <w:t xml:space="preserve"> թիվ</w:t>
      </w:r>
      <w:r>
        <w:rPr>
          <w:szCs w:val="24"/>
          <w:lang w:val="hy-AM"/>
        </w:rPr>
        <w:t xml:space="preserve"> 1360</w:t>
      </w:r>
      <w:r w:rsidRPr="004A5126">
        <w:rPr>
          <w:szCs w:val="24"/>
          <w:lang w:val="hy-AM"/>
        </w:rPr>
        <w:t>-Ա հրամանով հաստատված ծրագրի /այսուհետ՝ Ծրագիր/ իրականացման համար ՊԵԿ-ի և ՊՈԱԿ-ի միջև</w:t>
      </w:r>
      <w:r>
        <w:rPr>
          <w:szCs w:val="24"/>
          <w:lang w:val="hy-AM"/>
        </w:rPr>
        <w:t xml:space="preserve"> 2023</w:t>
      </w:r>
      <w:r w:rsidRPr="004A5126">
        <w:rPr>
          <w:szCs w:val="24"/>
          <w:lang w:val="hy-AM"/>
        </w:rPr>
        <w:t xml:space="preserve"> թվականի հունվարի 11-ին կնքվել է «Պետության կողմից դրամաշնորհի ձևով տրամադրվող ֆինանսական աջակցության գումարների օգտագործման մասին</w:t>
      </w:r>
      <w:r w:rsidRPr="009A53EF">
        <w:rPr>
          <w:szCs w:val="24"/>
          <w:lang w:val="hy-AM"/>
        </w:rPr>
        <w:t>»</w:t>
      </w:r>
      <w:r w:rsidRPr="004A5126">
        <w:rPr>
          <w:szCs w:val="24"/>
          <w:lang w:val="hy-AM"/>
        </w:rPr>
        <w:t xml:space="preserve"> թիվ</w:t>
      </w:r>
      <w:r>
        <w:rPr>
          <w:szCs w:val="24"/>
          <w:lang w:val="hy-AM"/>
        </w:rPr>
        <w:t xml:space="preserve"> 12</w:t>
      </w:r>
      <w:r w:rsidRPr="004A5126">
        <w:rPr>
          <w:szCs w:val="24"/>
          <w:lang w:val="hy-AM"/>
        </w:rPr>
        <w:t xml:space="preserve"> պայմանագիրը /այսուհետ՝ Պայմանագիր/</w:t>
      </w:r>
      <w:r w:rsidRPr="00C010C1">
        <w:rPr>
          <w:szCs w:val="24"/>
          <w:lang w:val="hy-AM"/>
        </w:rPr>
        <w:t>:</w:t>
      </w:r>
      <w:r w:rsidRPr="00E42B1D">
        <w:rPr>
          <w:szCs w:val="24"/>
          <w:lang w:val="hy-AM"/>
        </w:rPr>
        <w:t xml:space="preserve"> </w:t>
      </w:r>
      <w:r w:rsidRPr="00C010C1">
        <w:rPr>
          <w:szCs w:val="24"/>
          <w:lang w:val="hy-AM"/>
        </w:rPr>
        <w:t>Պ</w:t>
      </w:r>
      <w:r w:rsidRPr="00E42B1D">
        <w:rPr>
          <w:szCs w:val="24"/>
          <w:lang w:val="hy-AM"/>
        </w:rPr>
        <w:t xml:space="preserve">այմանագրային գումարը կազմել է </w:t>
      </w:r>
      <w:r w:rsidRPr="00C010C1">
        <w:rPr>
          <w:szCs w:val="24"/>
          <w:lang w:val="hy-AM"/>
        </w:rPr>
        <w:t xml:space="preserve">181,909.00 հազ. դրամ: </w:t>
      </w:r>
    </w:p>
    <w:p w14:paraId="344CDABC" w14:textId="77777777" w:rsidR="008A058A" w:rsidRPr="00002C92" w:rsidRDefault="008A058A" w:rsidP="003D379F">
      <w:pPr>
        <w:spacing w:before="0" w:after="0"/>
        <w:ind w:firstLine="360"/>
        <w:rPr>
          <w:szCs w:val="24"/>
          <w:lang w:val="hy-AM"/>
        </w:rPr>
      </w:pPr>
      <w:r w:rsidRPr="00002C92">
        <w:rPr>
          <w:szCs w:val="24"/>
          <w:lang w:val="hy-AM"/>
        </w:rPr>
        <w:t xml:space="preserve">  Համաձայն </w:t>
      </w:r>
      <w:r w:rsidRPr="00002C92">
        <w:rPr>
          <w:rFonts w:cs="Sylfaen"/>
          <w:color w:val="000000"/>
          <w:szCs w:val="24"/>
          <w:lang w:val="hy-AM"/>
        </w:rPr>
        <w:t xml:space="preserve">ՀՀ 2023 թվականի պետական բյուջեի տարեկան կատարման հաշվետվության ՊՈԱԿ-ի տարեսկզբի դեբիտորական պարտքը կազմել է 3,927.50 հազ. դրամ, կրեդիտորական պարտքը՝ 3,430.50 հազ. դրամ, տարեվերջի դեբիտորական պարտքը կազմել է </w:t>
      </w:r>
      <w:r w:rsidRPr="00002C92">
        <w:rPr>
          <w:szCs w:val="24"/>
          <w:lang w:val="hy-AM"/>
        </w:rPr>
        <w:t>12,120.90 հազ.դրամ, կրեդիտորական պարտքը՝   250.90 հազ. դրամ: Այսպիսով, հաշվի առնելով տարեսկզբի և տարեվերջի դեբիտորական և կրեդիտորական պարտքերը, ՊՈԱԿ-ի տարեվերջի տնտեսված միջոցները կազմում են 11,619.1</w:t>
      </w:r>
      <w:r w:rsidR="003D379F" w:rsidRPr="003D379F">
        <w:rPr>
          <w:szCs w:val="24"/>
          <w:lang w:val="hy-AM"/>
        </w:rPr>
        <w:t>0</w:t>
      </w:r>
      <w:r w:rsidRPr="00002C92">
        <w:rPr>
          <w:szCs w:val="24"/>
          <w:lang w:val="hy-AM"/>
        </w:rPr>
        <w:t xml:space="preserve"> հազ. դրամ:   </w:t>
      </w:r>
    </w:p>
    <w:p w14:paraId="037036DE" w14:textId="77777777" w:rsidR="008A058A" w:rsidRDefault="008A058A" w:rsidP="008A058A">
      <w:pPr>
        <w:spacing w:after="0"/>
        <w:rPr>
          <w:rFonts w:eastAsia="Calibri"/>
          <w:b/>
          <w:i/>
          <w:szCs w:val="24"/>
          <w:lang w:val="hy-AM"/>
        </w:rPr>
      </w:pPr>
      <w:r w:rsidRPr="000F123F">
        <w:rPr>
          <w:rFonts w:eastAsia="Calibri"/>
          <w:b/>
          <w:i/>
          <w:szCs w:val="24"/>
          <w:lang w:val="hy-AM"/>
        </w:rPr>
        <w:t>Հաշվեքննության օբյեկտի արձագանքը</w:t>
      </w:r>
    </w:p>
    <w:p w14:paraId="02F58A97" w14:textId="77777777" w:rsidR="00A90027" w:rsidRPr="00A90027" w:rsidRDefault="00A90027" w:rsidP="00A90027">
      <w:pPr>
        <w:spacing w:before="0" w:after="0" w:line="240" w:lineRule="auto"/>
        <w:ind w:firstLine="567"/>
        <w:rPr>
          <w:rFonts w:eastAsia="Calibri"/>
          <w:szCs w:val="24"/>
          <w:lang w:val="hy-AM"/>
        </w:rPr>
      </w:pPr>
      <w:r w:rsidRPr="00A90027">
        <w:rPr>
          <w:rFonts w:eastAsia="Calibri"/>
          <w:szCs w:val="24"/>
          <w:lang w:val="hy-AM"/>
        </w:rPr>
        <w:t>Կոմիտեի և Կոմիտեի ուսումնական կենտրոնի միջև 2023 թվականի հունվարի 11-ին կնքվել է «Պետության կողմից դրամաշնորհի ձևով տրամադրվող ֆինանսական աջակցության գումար</w:t>
      </w:r>
      <w:r w:rsidRPr="00A90027">
        <w:rPr>
          <w:rFonts w:eastAsia="Calibri"/>
          <w:szCs w:val="24"/>
          <w:lang w:val="hy-AM"/>
        </w:rPr>
        <w:softHyphen/>
        <w:t>ների օգտագործման մասին» թիվ 12 պայմանագիրը (այսուհետ՝ Պայմանագիր): Պայմանա</w:t>
      </w:r>
      <w:r w:rsidRPr="00A90027">
        <w:rPr>
          <w:rFonts w:eastAsia="Calibri"/>
          <w:szCs w:val="24"/>
          <w:lang w:val="hy-AM"/>
        </w:rPr>
        <w:softHyphen/>
        <w:t>գրային գումարը կազմել է 141,703.8 հազար դրամ։ 2023 թվականի ապրիլին մեկնարկած մաքսային ծառայողի պատրաստման դասընթացի ընդունելության և դրա արդյունքում ընտրված շուրջ 570 դիմորդների համար դասընթացների պատշաճ կազմակերպումն իրականացնելու նպատակով անհրաժեշտություն է առաջացել ֆինանսավորման գումարը ավելացնել 40,205.2 հազար դրամով, որն ի սկզբանե նախատեսված չի եղել Պայմանագրով նախատեսված միջոց</w:t>
      </w:r>
      <w:r w:rsidRPr="00A90027">
        <w:rPr>
          <w:rFonts w:eastAsia="Calibri"/>
          <w:szCs w:val="24"/>
          <w:lang w:val="hy-AM"/>
        </w:rPr>
        <w:softHyphen/>
        <w:t>ներով։ Արդյունքում ՀՀ ՊԵԿ Ուսումնական կենտրոնին մաքսային ծառայողի պատրաստ</w:t>
      </w:r>
      <w:r w:rsidRPr="00A90027">
        <w:rPr>
          <w:rFonts w:eastAsia="Calibri"/>
          <w:szCs w:val="24"/>
          <w:lang w:val="hy-AM"/>
        </w:rPr>
        <w:softHyphen/>
        <w:t>ման դասընթացների պատշաճ կազմակերպումն ապահովելու համար լրացուցիչ տրամադրվել է 40,205.2 հազար դրամ (կնքված համաձայնագրով ֆինանսավորման ընդհանուր գումարը 2023թ-ի համար կազմել է 181,909.00 հազ. դրամ):</w:t>
      </w:r>
    </w:p>
    <w:p w14:paraId="20D26F37" w14:textId="77777777" w:rsidR="00A90027" w:rsidRPr="00A90027" w:rsidRDefault="00A90027" w:rsidP="00A90027">
      <w:pPr>
        <w:spacing w:before="0" w:after="0" w:line="240" w:lineRule="auto"/>
        <w:ind w:firstLine="431"/>
        <w:rPr>
          <w:rFonts w:eastAsia="Calibri"/>
          <w:szCs w:val="24"/>
          <w:lang w:val="hy-AM"/>
        </w:rPr>
      </w:pPr>
      <w:r w:rsidRPr="00A90027">
        <w:rPr>
          <w:rFonts w:eastAsia="Calibri"/>
          <w:szCs w:val="24"/>
          <w:lang w:val="hy-AM"/>
        </w:rPr>
        <w:t>2023 թվականի ապրիլին մեկնարկած մաքսային ծառայողի ընդունելության գործընթացի արդյունքում ընտրված շուրջ 800 դիմորդներ 2023 թվականի հուլիսին մասնակցել են բարեվարքության հարցազրույցին, ինչի արդյունքում հայտնի է դարձել դասընթացի մասնա</w:t>
      </w:r>
      <w:r w:rsidRPr="00A90027">
        <w:rPr>
          <w:rFonts w:eastAsia="Calibri"/>
          <w:szCs w:val="24"/>
          <w:lang w:val="hy-AM"/>
        </w:rPr>
        <w:softHyphen/>
        <w:t xml:space="preserve">կիցների թիվը՝ շուրջ 570 մասնակից։ Բարեվարքության փուլը հաղթահարած մասնակիցների թվի հիման վրա ՀՀ ՊԵԿ Ուսումնական կենտրոնը </w:t>
      </w:r>
      <w:r w:rsidRPr="00A90027">
        <w:rPr>
          <w:rFonts w:eastAsia="Calibri"/>
          <w:szCs w:val="24"/>
          <w:lang w:val="hy-AM"/>
        </w:rPr>
        <w:lastRenderedPageBreak/>
        <w:t>հաշվարկել է լրացուցիչ ֆինանսավորման համար անհրաժեշտ գումարի չափը և 2023 թվականի օգոստոսին ներկա</w:t>
      </w:r>
      <w:r w:rsidRPr="00A90027">
        <w:rPr>
          <w:rFonts w:eastAsia="Calibri"/>
          <w:szCs w:val="24"/>
          <w:lang w:val="hy-AM"/>
        </w:rPr>
        <w:softHyphen/>
        <w:t>յացրել լրացուցիչ 40,205.2</w:t>
      </w:r>
      <w:r w:rsidR="00A7489A" w:rsidRPr="00A7489A">
        <w:rPr>
          <w:rFonts w:eastAsia="Calibri"/>
          <w:szCs w:val="24"/>
          <w:lang w:val="hy-AM"/>
        </w:rPr>
        <w:t>0</w:t>
      </w:r>
      <w:r w:rsidRPr="00A90027">
        <w:rPr>
          <w:rFonts w:eastAsia="Calibri"/>
          <w:szCs w:val="24"/>
          <w:lang w:val="hy-AM"/>
        </w:rPr>
        <w:t xml:space="preserve"> հազար դրամ ֆինանսավորման հայտ։ Ավելի քան 2 ամիս անց միայն կնքվել է համաձայնագիրը և տրամադրվել գումարը՝ մինչդեռ դասընթացները արդեն մեկնարկել էին և գումարը անհրաժեշտ էր համապատասխան վճարումներ իրականացնելու համար։</w:t>
      </w:r>
    </w:p>
    <w:p w14:paraId="440158D7" w14:textId="662A0F0B" w:rsidR="00A90027" w:rsidRPr="00A90027" w:rsidRDefault="00A90027" w:rsidP="00A90027">
      <w:pPr>
        <w:spacing w:before="0" w:after="0" w:line="240" w:lineRule="auto"/>
        <w:ind w:firstLine="431"/>
        <w:rPr>
          <w:rFonts w:eastAsia="Calibri"/>
          <w:szCs w:val="24"/>
          <w:lang w:val="hy-AM"/>
        </w:rPr>
      </w:pPr>
      <w:r w:rsidRPr="00A90027">
        <w:rPr>
          <w:rFonts w:eastAsia="Calibri"/>
          <w:szCs w:val="24"/>
          <w:lang w:val="hy-AM"/>
        </w:rPr>
        <w:t xml:space="preserve">ՀՀ ՊԵԿ Ուսումնական կենտրոնը 2023 թվականի դեկտեմբերի 4-ին ստացել է ՀՀ ՊԵԿ նախագահի </w:t>
      </w:r>
      <w:r w:rsidR="00025986">
        <w:rPr>
          <w:rFonts w:eastAsia="Calibri"/>
          <w:szCs w:val="24"/>
          <w:lang w:val="hy-AM"/>
        </w:rPr>
        <w:t>տեղակալ</w:t>
      </w:r>
      <w:r w:rsidRPr="00A90027">
        <w:rPr>
          <w:rFonts w:eastAsia="Calibri"/>
          <w:szCs w:val="24"/>
          <w:lang w:val="hy-AM"/>
        </w:rPr>
        <w:t xml:space="preserve"> Ա</w:t>
      </w:r>
      <w:r w:rsidRPr="00A90027">
        <w:rPr>
          <w:rFonts w:ascii="Cambria Math" w:eastAsia="Calibri" w:hAnsi="Cambria Math" w:cs="Cambria Math"/>
          <w:szCs w:val="24"/>
          <w:lang w:val="hy-AM"/>
        </w:rPr>
        <w:t>․</w:t>
      </w:r>
      <w:r w:rsidRPr="00A90027">
        <w:rPr>
          <w:rFonts w:eastAsia="Calibri"/>
          <w:szCs w:val="24"/>
          <w:lang w:val="hy-AM"/>
        </w:rPr>
        <w:t xml:space="preserve"> </w:t>
      </w:r>
      <w:r w:rsidR="00025986">
        <w:rPr>
          <w:rFonts w:eastAsia="Calibri"/>
          <w:szCs w:val="24"/>
          <w:lang w:val="hy-AM"/>
        </w:rPr>
        <w:t>Սմբատյանի</w:t>
      </w:r>
      <w:r w:rsidRPr="00A90027">
        <w:rPr>
          <w:rFonts w:eastAsia="Calibri"/>
          <w:szCs w:val="24"/>
          <w:lang w:val="hy-AM"/>
        </w:rPr>
        <w:t xml:space="preserve"> զեկուցագիրը 2023 թվականի դեկտեմբերից հարկային ծառայողի պատրաստման դասընթացի գործընթացը նախաձեռնելու վերաբերյալ։</w:t>
      </w:r>
    </w:p>
    <w:p w14:paraId="02BA0202" w14:textId="77777777" w:rsidR="00A90027" w:rsidRPr="00A90027" w:rsidRDefault="00A90027" w:rsidP="00A90027">
      <w:pPr>
        <w:spacing w:before="0" w:after="0" w:line="240" w:lineRule="auto"/>
        <w:rPr>
          <w:rFonts w:eastAsia="Calibri"/>
          <w:szCs w:val="24"/>
          <w:lang w:val="hy-AM"/>
        </w:rPr>
      </w:pPr>
      <w:r w:rsidRPr="00A90027">
        <w:rPr>
          <w:rFonts w:eastAsia="Calibri"/>
          <w:szCs w:val="24"/>
          <w:lang w:val="hy-AM"/>
        </w:rPr>
        <w:t>Արդյունքում՝ 2023 թվականի դեկտեմբերի 8-ին հայտարարվել է հարկային ծառայողի պատրաստման դասընթացի մեկնարկը։</w:t>
      </w:r>
    </w:p>
    <w:p w14:paraId="34EBA84C" w14:textId="77777777" w:rsidR="00A90027" w:rsidRPr="00A90027" w:rsidRDefault="00A90027" w:rsidP="00A90027">
      <w:pPr>
        <w:spacing w:before="0" w:after="0" w:line="240" w:lineRule="auto"/>
        <w:rPr>
          <w:rFonts w:eastAsia="Calibri"/>
          <w:szCs w:val="24"/>
          <w:lang w:val="hy-AM"/>
        </w:rPr>
      </w:pPr>
      <w:r w:rsidRPr="00A90027">
        <w:rPr>
          <w:rFonts w:eastAsia="Calibri"/>
          <w:szCs w:val="24"/>
          <w:lang w:val="hy-AM"/>
        </w:rPr>
        <w:t>Կոմիտեի և Կոմիտեի Ուսումնական կենտրոնի միջև կնքվող դրամաշնորհի պայմանա</w:t>
      </w:r>
      <w:r w:rsidRPr="00A90027">
        <w:rPr>
          <w:rFonts w:eastAsia="Calibri"/>
          <w:szCs w:val="24"/>
          <w:lang w:val="hy-AM"/>
        </w:rPr>
        <w:softHyphen/>
        <w:t>գրերով հարկային կամ մաքսային ծառայողի պատրաստման դասընթացի կազմակերպման համար գումարներ նախատեսված չեն, ավելին՝ գումարի չափը հայտնի է դառնում բարեվար</w:t>
      </w:r>
      <w:r w:rsidRPr="00A90027">
        <w:rPr>
          <w:rFonts w:eastAsia="Calibri"/>
          <w:szCs w:val="24"/>
          <w:lang w:val="hy-AM"/>
        </w:rPr>
        <w:softHyphen/>
        <w:t>քության հարցազրույցի արդյունքներով՝ դասընթացի մեկնարկից օրեր առաջ։ Հաշվի առնելով վերոնշյալ հանգամանքը և այն, որ լրացուցիչ ֆինանսավորման տրամադրման գործընթացը ժամանակատար է, ՀՀ ՊԵԿ Ուսումնական կենտրոնը նպատակահարմար է գտել հարկային ծառայողի պատրաստման դասընթացների կազմակերպման համար անհրաժեշտ լրացուցիչ ֆինանսավորման հաշվարկի ժամանակ (որը կատարվելու է 2024 թվականի ապրիլ-մայիս ամիսներին) հաշվի առնել ՀՀ ՊԵԿ Ուսումնական կենտրոնի 2023 թվականի տարեվերջի մնացորդային միջոցները (11,619.1 հազար դրամ) և լրացուցիչ ֆինանսավորման հայտ ներկա</w:t>
      </w:r>
      <w:r w:rsidRPr="00A90027">
        <w:rPr>
          <w:rFonts w:eastAsia="Calibri"/>
          <w:szCs w:val="24"/>
          <w:lang w:val="hy-AM"/>
        </w:rPr>
        <w:softHyphen/>
        <w:t>յացնել հաշվարկված և մնացորդային գումարի տարբերության չափով, ինչը կապահովի դասընթացների պատշաճ և անխափան անցկացումը մինչև ֆինանսավորման տրամադրումը։</w:t>
      </w:r>
    </w:p>
    <w:p w14:paraId="4FA42D79" w14:textId="77777777" w:rsidR="008A058A" w:rsidRPr="000F123F" w:rsidRDefault="008A058A" w:rsidP="008A058A">
      <w:pPr>
        <w:spacing w:before="0" w:after="0"/>
        <w:rPr>
          <w:rFonts w:eastAsia="Calibri"/>
          <w:b/>
          <w:i/>
          <w:szCs w:val="24"/>
          <w:lang w:val="hy-AM"/>
        </w:rPr>
      </w:pPr>
      <w:r w:rsidRPr="000F123F">
        <w:rPr>
          <w:rFonts w:eastAsia="Calibri"/>
          <w:b/>
          <w:i/>
          <w:szCs w:val="24"/>
          <w:lang w:val="hy-AM"/>
        </w:rPr>
        <w:t>Հաշվեքննողների մեկնաբանությունը</w:t>
      </w:r>
    </w:p>
    <w:p w14:paraId="68715ED6" w14:textId="2EF50F9E" w:rsidR="00A7489A" w:rsidRPr="003F4540" w:rsidRDefault="00E049B1" w:rsidP="003F4540">
      <w:pPr>
        <w:shd w:val="clear" w:color="auto" w:fill="FFFFFF"/>
        <w:spacing w:before="0" w:after="0"/>
        <w:ind w:firstLine="375"/>
        <w:rPr>
          <w:rFonts w:eastAsia="Times New Roman"/>
          <w:szCs w:val="24"/>
          <w:lang w:val="hy-AM"/>
        </w:rPr>
      </w:pPr>
      <w:r w:rsidRPr="00E049B1">
        <w:rPr>
          <w:rFonts w:eastAsia="Times New Roman"/>
          <w:color w:val="000000"/>
          <w:szCs w:val="24"/>
          <w:shd w:val="clear" w:color="auto" w:fill="FFFFFF"/>
          <w:lang w:val="hy-AM"/>
        </w:rPr>
        <w:t>Հաշվեքննությամ</w:t>
      </w:r>
      <w:r w:rsidR="00E20057">
        <w:rPr>
          <w:rFonts w:eastAsia="Times New Roman"/>
          <w:color w:val="000000"/>
          <w:szCs w:val="24"/>
          <w:shd w:val="clear" w:color="auto" w:fill="FFFFFF"/>
          <w:lang w:val="hy-AM"/>
        </w:rPr>
        <w:t>բ արձանագրված հարցը կարգավորվ</w:t>
      </w:r>
      <w:r w:rsidRPr="00E049B1">
        <w:rPr>
          <w:rFonts w:eastAsia="Times New Roman"/>
          <w:color w:val="000000"/>
          <w:szCs w:val="24"/>
          <w:shd w:val="clear" w:color="auto" w:fill="FFFFFF"/>
          <w:lang w:val="hy-AM"/>
        </w:rPr>
        <w:t xml:space="preserve">ում է </w:t>
      </w:r>
      <w:r w:rsidR="00A7489A">
        <w:rPr>
          <w:rFonts w:eastAsia="Times New Roman"/>
          <w:szCs w:val="24"/>
          <w:lang w:val="hy-AM"/>
        </w:rPr>
        <w:t>ՀՀ կառավա</w:t>
      </w:r>
      <w:r w:rsidR="00E20057">
        <w:rPr>
          <w:rFonts w:eastAsia="Times New Roman"/>
          <w:szCs w:val="24"/>
          <w:lang w:val="hy-AM"/>
        </w:rPr>
        <w:t xml:space="preserve">րության </w:t>
      </w:r>
      <w:r w:rsidR="00E20057" w:rsidRPr="00E20057">
        <w:rPr>
          <w:rFonts w:eastAsia="Times New Roman"/>
          <w:szCs w:val="24"/>
          <w:lang w:val="hy-AM"/>
        </w:rPr>
        <w:t xml:space="preserve">վերոնշյալ </w:t>
      </w:r>
      <w:r w:rsidR="00E20057">
        <w:rPr>
          <w:rFonts w:eastAsia="Times New Roman"/>
          <w:szCs w:val="24"/>
          <w:lang w:val="hy-AM"/>
        </w:rPr>
        <w:t>որոշման 4-րդ կետի 13-րդ ենթակետով</w:t>
      </w:r>
      <w:r w:rsidR="00A7489A">
        <w:rPr>
          <w:rFonts w:eastAsia="Times New Roman"/>
          <w:szCs w:val="24"/>
          <w:lang w:val="hy-AM"/>
        </w:rPr>
        <w:t xml:space="preserve">, ինչպես նաև </w:t>
      </w:r>
      <w:r w:rsidR="00A7489A" w:rsidRPr="003F4540">
        <w:rPr>
          <w:rFonts w:eastAsia="Times New Roman"/>
          <w:szCs w:val="24"/>
          <w:lang w:val="hy-AM"/>
        </w:rPr>
        <w:t>ՊԵԿ-ի և ՀՀ ՊԵԿ «Ուսումնական կենտրո</w:t>
      </w:r>
      <w:r w:rsidR="00A7489A">
        <w:rPr>
          <w:rFonts w:eastAsia="Times New Roman"/>
          <w:szCs w:val="24"/>
          <w:lang w:val="hy-AM"/>
        </w:rPr>
        <w:t xml:space="preserve">ն» </w:t>
      </w:r>
      <w:r w:rsidR="00E20057">
        <w:rPr>
          <w:rFonts w:eastAsia="Times New Roman"/>
          <w:szCs w:val="24"/>
          <w:lang w:val="hy-AM"/>
        </w:rPr>
        <w:t xml:space="preserve">ՊՈԱԿ-ի միջև կնքված Պայմանագրով, </w:t>
      </w:r>
      <w:r w:rsidR="00A7489A">
        <w:rPr>
          <w:rFonts w:eastAsia="Times New Roman"/>
          <w:szCs w:val="24"/>
          <w:lang w:val="hy-AM"/>
        </w:rPr>
        <w:t xml:space="preserve">համաձայն որոնց </w:t>
      </w:r>
      <w:r w:rsidR="00A7489A" w:rsidRPr="00A7489A">
        <w:rPr>
          <w:rFonts w:eastAsia="Times New Roman"/>
          <w:szCs w:val="24"/>
          <w:lang w:val="hy-AM"/>
        </w:rPr>
        <w:t xml:space="preserve">տարեկան արդյունքներով </w:t>
      </w:r>
      <w:r w:rsidRPr="00E049B1">
        <w:rPr>
          <w:rFonts w:eastAsia="Times New Roman"/>
          <w:szCs w:val="24"/>
          <w:lang w:val="hy-AM"/>
        </w:rPr>
        <w:t>առաջացած տնտեսումները (խնայողությունները) վերադարձնում է Հայաստանի Հանրապետության պետական բյուջե` ոչ ուշ, քան մինչև 2023 թվականի դեկտեմբերի 22-ը</w:t>
      </w:r>
      <w:r w:rsidR="00A7489A" w:rsidRPr="00A7489A">
        <w:rPr>
          <w:rFonts w:eastAsia="Times New Roman"/>
          <w:szCs w:val="24"/>
          <w:lang w:val="hy-AM"/>
        </w:rPr>
        <w:t>:</w:t>
      </w:r>
      <w:r w:rsidR="003F4540" w:rsidRPr="00A33532">
        <w:rPr>
          <w:rFonts w:eastAsia="Times New Roman"/>
          <w:szCs w:val="24"/>
          <w:lang w:val="hy-AM"/>
        </w:rPr>
        <w:t xml:space="preserve"> </w:t>
      </w:r>
      <w:r w:rsidR="003F4540" w:rsidRPr="005D14EC">
        <w:rPr>
          <w:rFonts w:eastAsia="Times New Roman"/>
          <w:szCs w:val="24"/>
          <w:lang w:val="hy-AM"/>
        </w:rPr>
        <w:t xml:space="preserve"> Սակայն</w:t>
      </w:r>
      <w:r w:rsidR="00E22E66" w:rsidRPr="00E22E66">
        <w:rPr>
          <w:rFonts w:eastAsia="Times New Roman"/>
          <w:szCs w:val="24"/>
          <w:lang w:val="hy-AM"/>
        </w:rPr>
        <w:t>,</w:t>
      </w:r>
      <w:r w:rsidR="003F4540" w:rsidRPr="005D14EC">
        <w:rPr>
          <w:rFonts w:eastAsia="Times New Roman"/>
          <w:szCs w:val="24"/>
          <w:lang w:val="hy-AM"/>
        </w:rPr>
        <w:t xml:space="preserve"> </w:t>
      </w:r>
      <w:r w:rsidR="00E22E66" w:rsidRPr="00A7489A">
        <w:rPr>
          <w:rFonts w:eastAsia="Times New Roman"/>
          <w:szCs w:val="24"/>
          <w:lang w:val="hy-AM"/>
        </w:rPr>
        <w:t>2023թ-ի ընթացքում</w:t>
      </w:r>
      <w:r w:rsidR="00E22E66" w:rsidRPr="00E22E66">
        <w:rPr>
          <w:rFonts w:eastAsia="Times New Roman"/>
          <w:szCs w:val="24"/>
          <w:lang w:val="hy-AM"/>
        </w:rPr>
        <w:t xml:space="preserve"> </w:t>
      </w:r>
      <w:r w:rsidR="003F4540">
        <w:rPr>
          <w:rFonts w:eastAsia="Times New Roman"/>
          <w:szCs w:val="24"/>
          <w:lang w:val="hy-AM"/>
        </w:rPr>
        <w:t xml:space="preserve">տնտեսված </w:t>
      </w:r>
      <w:r w:rsidR="003F4540" w:rsidRPr="005D14EC">
        <w:rPr>
          <w:rFonts w:eastAsia="Times New Roman"/>
          <w:szCs w:val="24"/>
          <w:lang w:val="hy-AM"/>
        </w:rPr>
        <w:t xml:space="preserve">միջոցները՝ </w:t>
      </w:r>
      <w:r w:rsidR="003F4540" w:rsidRPr="00A7489A">
        <w:rPr>
          <w:rFonts w:eastAsia="Times New Roman"/>
          <w:szCs w:val="24"/>
          <w:lang w:val="hy-AM"/>
        </w:rPr>
        <w:t>11,619.10 հազ. դրամ գումարի չափով</w:t>
      </w:r>
      <w:r w:rsidR="003F4540" w:rsidRPr="005D14EC">
        <w:rPr>
          <w:rFonts w:eastAsia="Times New Roman"/>
          <w:szCs w:val="24"/>
          <w:lang w:val="hy-AM"/>
        </w:rPr>
        <w:t xml:space="preserve"> չի վերադարձվել ՀՀ պետական բյուջե:</w:t>
      </w:r>
      <w:r w:rsidR="003F4540" w:rsidRPr="003F4540">
        <w:rPr>
          <w:rFonts w:eastAsia="Times New Roman"/>
          <w:szCs w:val="24"/>
          <w:lang w:val="hy-AM"/>
        </w:rPr>
        <w:t xml:space="preserve"> </w:t>
      </w:r>
    </w:p>
    <w:p w14:paraId="60501673" w14:textId="77777777" w:rsidR="008A058A" w:rsidRPr="00EB3A3A" w:rsidRDefault="008A058A"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26" w:name="_Toc164676872"/>
      <w:bookmarkEnd w:id="19"/>
      <w:r w:rsidRPr="00EB3A3A">
        <w:rPr>
          <w:rFonts w:eastAsiaTheme="majorEastAsia" w:cstheme="majorBidi"/>
          <w:b/>
          <w:i/>
          <w:color w:val="000000" w:themeColor="text1"/>
          <w:sz w:val="28"/>
          <w:szCs w:val="28"/>
          <w:lang w:val="hy-AM"/>
        </w:rPr>
        <w:lastRenderedPageBreak/>
        <w:t>ՀՀ ՊԵԿ-ում հաշվապահական հաշվառման վարում</w:t>
      </w:r>
      <w:bookmarkEnd w:id="26"/>
    </w:p>
    <w:p w14:paraId="7B7A2A64" w14:textId="77777777" w:rsidR="008A058A" w:rsidRDefault="008A058A" w:rsidP="008A058A">
      <w:pPr>
        <w:spacing w:before="0" w:after="160"/>
        <w:ind w:firstLine="0"/>
        <w:rPr>
          <w:rFonts w:eastAsiaTheme="minorHAnsi" w:cstheme="minorBidi"/>
          <w:b/>
          <w:szCs w:val="24"/>
          <w:lang w:val="hy-AM"/>
        </w:rPr>
      </w:pPr>
    </w:p>
    <w:p w14:paraId="18B93EC2" w14:textId="77777777" w:rsidR="008A058A" w:rsidRPr="005A348C" w:rsidRDefault="008A058A" w:rsidP="003D379F">
      <w:pPr>
        <w:spacing w:before="0" w:after="0"/>
        <w:ind w:firstLine="720"/>
        <w:rPr>
          <w:rFonts w:eastAsiaTheme="minorHAnsi" w:cstheme="minorBidi"/>
          <w:b/>
          <w:i/>
          <w:szCs w:val="24"/>
          <w:lang w:val="hy-AM"/>
        </w:rPr>
      </w:pPr>
      <w:r w:rsidRPr="005A348C">
        <w:rPr>
          <w:rFonts w:eastAsiaTheme="minorHAnsi" w:cstheme="minorBidi"/>
          <w:b/>
          <w:i/>
          <w:szCs w:val="24"/>
          <w:lang w:val="hy-AM"/>
        </w:rPr>
        <w:t>Առկա է անհամապատասխանություն «Հանրային հատվածի կազմակերպությունների հաշվապահական հաշվառման մասին» օրենքի 6-րդ հոդվածի 1-ին մասի պահանջի հետ համաձայն որի՝ «Կազմակերպությունները պարտավոր են հաշվապահական հաշվառումը վարել 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p>
    <w:p w14:paraId="15A958D8" w14:textId="77777777" w:rsidR="008A058A" w:rsidRPr="005A348C" w:rsidRDefault="008A058A" w:rsidP="003D379F">
      <w:pPr>
        <w:spacing w:before="0" w:after="0"/>
        <w:ind w:firstLine="375"/>
        <w:rPr>
          <w:rFonts w:eastAsiaTheme="minorHAnsi" w:cstheme="minorBidi"/>
          <w:b/>
          <w:szCs w:val="24"/>
          <w:lang w:val="hy-AM"/>
        </w:rPr>
      </w:pPr>
      <w:r w:rsidRPr="005A348C">
        <w:rPr>
          <w:rFonts w:eastAsiaTheme="minorHAnsi" w:cstheme="minorBidi"/>
          <w:b/>
          <w:i/>
          <w:szCs w:val="24"/>
          <w:lang w:val="hy-AM"/>
        </w:rPr>
        <w:t xml:space="preserve"> Առկա է անհամապատասխանություն ՀՀ կառավարության 2015 թվականի մարտի 26-ի «Հանրային հատվածի կազմակերպություններում հաշվապահական հաշվառում վարելու հնարավորություն ընձեռնող համակարգչային ծրագրերի՝ հանրային հատվածի հաշվապահական հաշվառման ոլորտը կարգավորող օրենսդրության պահանջներին համապատասխանության որոշման կարգը և դրանց ավտոմատացված համակարգերի նկատմամբ պահանջները սահմանելու մասին»  թիվ 313 – Ն որոշման N 1 հավելվածով սահմանված  կարգի 3-րդ, 4-րդ և 5-րդ կետերի պահանջների հետ։</w:t>
      </w:r>
      <w:r w:rsidRPr="005A348C">
        <w:rPr>
          <w:rFonts w:eastAsiaTheme="minorHAnsi" w:cstheme="minorBidi"/>
          <w:szCs w:val="24"/>
          <w:lang w:val="hy-AM"/>
        </w:rPr>
        <w:t xml:space="preserve"> Մասնավորապես՝</w:t>
      </w:r>
    </w:p>
    <w:p w14:paraId="1CC20B12" w14:textId="77777777" w:rsidR="008A058A" w:rsidRPr="005A348C" w:rsidRDefault="008A058A" w:rsidP="003D379F">
      <w:pPr>
        <w:shd w:val="clear" w:color="auto" w:fill="FFFFFF"/>
        <w:spacing w:before="0" w:after="0"/>
        <w:ind w:firstLine="375"/>
        <w:rPr>
          <w:rFonts w:eastAsia="Times New Roman"/>
          <w:color w:val="000000"/>
          <w:szCs w:val="24"/>
          <w:lang w:val="hy-AM"/>
        </w:rPr>
      </w:pPr>
      <w:r w:rsidRPr="005A348C">
        <w:rPr>
          <w:rFonts w:eastAsiaTheme="minorHAnsi" w:cstheme="minorBidi"/>
          <w:szCs w:val="24"/>
          <w:lang w:val="hy-AM"/>
        </w:rPr>
        <w:t>- Հաշվապահական հաշվառում վարելու հնարավորություն ընձեռնող</w:t>
      </w:r>
      <w:r w:rsidRPr="005A348C">
        <w:rPr>
          <w:rFonts w:eastAsia="Times New Roman"/>
          <w:color w:val="000000"/>
          <w:szCs w:val="24"/>
          <w:lang w:val="hy-AM"/>
        </w:rPr>
        <w:t xml:space="preserve"> համակարգչային ծրագիրը համարվում է հանրային հատվածի հաշվապահական հաշվառման ոլորտը կարգավորող օրենսդրության պահանջներին համապատասխանող, եթե այն ապահովում է հաշվապահական հաշվառման վարումը, ի մասնավորի, հանրային հատվածի հաշվապահական հաշվառման ստանդարտի (այսուհետ՝ ՀՀՀՀՀՀՍ) հիման վրա մշակված հանրային հատվածի կազմակերպությունների հաշվապահական հաշվառման հաշվային պլանին (այսուհետ` հաշվային պլան) համապատասխան։ </w:t>
      </w:r>
    </w:p>
    <w:p w14:paraId="5B2F78A5" w14:textId="77777777" w:rsidR="008A058A" w:rsidRPr="005A348C" w:rsidRDefault="008A058A" w:rsidP="003D379F">
      <w:pPr>
        <w:shd w:val="clear" w:color="auto" w:fill="FFFFFF"/>
        <w:spacing w:before="0" w:after="0"/>
        <w:ind w:firstLine="375"/>
        <w:rPr>
          <w:rFonts w:eastAsia="Times New Roman"/>
          <w:color w:val="000000"/>
          <w:szCs w:val="24"/>
          <w:lang w:val="hy-AM"/>
        </w:rPr>
      </w:pPr>
      <w:r w:rsidRPr="005A348C">
        <w:rPr>
          <w:rFonts w:eastAsia="Times New Roman"/>
          <w:color w:val="000000"/>
          <w:szCs w:val="24"/>
          <w:lang w:val="hy-AM"/>
        </w:rPr>
        <w:t>- Համակարգչային ծրագիրը պետք է հնարավորություն ընձեռի նաև, որպեսզի` բոլոր գործառնությունների, դեպքերի և իրադարձությունների արդյունքները հաշվապահական հաշվառման հաշիվներում գրանցվեն այնպես, որ դրանք արտացոլվեն այն ժամանակաշրջանի ֆինանսական հաշվետվություններում, որոնց վերաբերում են:</w:t>
      </w:r>
    </w:p>
    <w:p w14:paraId="47343A3E" w14:textId="77777777" w:rsidR="008A058A" w:rsidRPr="005A348C" w:rsidRDefault="008A058A" w:rsidP="003D379F">
      <w:pPr>
        <w:shd w:val="clear" w:color="auto" w:fill="FFFFFF"/>
        <w:spacing w:before="0" w:after="0"/>
        <w:ind w:firstLine="375"/>
        <w:rPr>
          <w:rFonts w:eastAsia="Times New Roman"/>
          <w:color w:val="000000"/>
          <w:szCs w:val="24"/>
          <w:lang w:val="hy-AM"/>
        </w:rPr>
      </w:pPr>
      <w:r w:rsidRPr="005A348C">
        <w:rPr>
          <w:rFonts w:eastAsia="Times New Roman"/>
          <w:color w:val="000000"/>
          <w:szCs w:val="24"/>
          <w:lang w:val="hy-AM"/>
        </w:rPr>
        <w:t xml:space="preserve">- Հաշվապահական հաշվառման ավտոմատացված համակարգի միջոցով հաշվապահական հաշվառումը պետք է վարվի Հայաստանի Հանրապետության հանրային </w:t>
      </w:r>
      <w:r w:rsidRPr="005A348C">
        <w:rPr>
          <w:rFonts w:eastAsia="Times New Roman"/>
          <w:color w:val="000000"/>
          <w:szCs w:val="24"/>
          <w:lang w:val="hy-AM"/>
        </w:rPr>
        <w:lastRenderedPageBreak/>
        <w:t>հատվածի հաշվապահական հաշվառման ստանդարտի պահանջներով՝ կիրառելով հաշվային պլանում ներկայացված հաշվապահական թղթակցությունները:</w:t>
      </w:r>
    </w:p>
    <w:p w14:paraId="39AB305E" w14:textId="77777777" w:rsidR="008A058A" w:rsidRPr="005A348C" w:rsidRDefault="008A058A" w:rsidP="003D379F">
      <w:pPr>
        <w:spacing w:before="0" w:after="0"/>
        <w:ind w:firstLine="375"/>
        <w:rPr>
          <w:rFonts w:eastAsia="Times New Roman" w:cs="Cambria Math"/>
          <w:bCs/>
          <w:color w:val="000000"/>
          <w:szCs w:val="24"/>
          <w:lang w:val="hy-AM"/>
        </w:rPr>
      </w:pPr>
      <w:r w:rsidRPr="005A348C">
        <w:rPr>
          <w:rFonts w:eastAsia="Times New Roman"/>
          <w:color w:val="000000"/>
          <w:szCs w:val="24"/>
          <w:lang w:val="hy-AM"/>
        </w:rPr>
        <w:t xml:space="preserve">Հաշվեքննությամբ պարզվել է, որ ՀՀ ՊԵԿ-ում ներդրվել է  </w:t>
      </w:r>
      <w:r w:rsidRPr="005A348C">
        <w:rPr>
          <w:rFonts w:eastAsiaTheme="minorHAnsi" w:cstheme="minorBidi"/>
          <w:szCs w:val="24"/>
          <w:lang w:val="hy-AM"/>
        </w:rPr>
        <w:t>ՀՀՀՀՀՀՍ-ի պահանջներին և հ</w:t>
      </w:r>
      <w:r w:rsidRPr="005A348C">
        <w:rPr>
          <w:rFonts w:eastAsia="Times New Roman"/>
          <w:bCs/>
          <w:color w:val="000000"/>
          <w:szCs w:val="24"/>
          <w:lang w:val="hy-AM"/>
        </w:rPr>
        <w:t>անրային հատվածի կազմակերպությունների հաշվապահական հաշվառման հաշվային պլանին (այսուհետ՝ հաշվային պլան) համապատասխան հաշվապահական հաշվառում վարելու հնարավորություն ընձեռող համակարգչային ծրագիրը՝  հաշվապահական հաշվառման ավտոմատացված համակարգը</w:t>
      </w:r>
      <w:r w:rsidRPr="005A348C">
        <w:rPr>
          <w:rFonts w:eastAsia="Times New Roman" w:cs="Cambria Math"/>
          <w:bCs/>
          <w:color w:val="000000"/>
          <w:szCs w:val="24"/>
          <w:lang w:val="hy-AM"/>
        </w:rPr>
        <w:t xml:space="preserve">։ </w:t>
      </w:r>
    </w:p>
    <w:p w14:paraId="776B69CD" w14:textId="77777777" w:rsidR="008A058A" w:rsidRPr="005A348C" w:rsidRDefault="008A058A" w:rsidP="003D379F">
      <w:pPr>
        <w:spacing w:before="0" w:after="0"/>
        <w:ind w:firstLine="375"/>
        <w:rPr>
          <w:lang w:val="hy-AM"/>
        </w:rPr>
      </w:pPr>
      <w:r w:rsidRPr="005A348C">
        <w:rPr>
          <w:rFonts w:eastAsia="Times New Roman" w:cs="Cambria Math"/>
          <w:bCs/>
          <w:color w:val="000000"/>
          <w:szCs w:val="24"/>
          <w:lang w:val="hy-AM"/>
        </w:rPr>
        <w:t xml:space="preserve">Սակայն </w:t>
      </w:r>
      <w:r w:rsidRPr="005A348C">
        <w:rPr>
          <w:rFonts w:ascii="Cambria Math" w:eastAsia="Times New Roman" w:hAnsi="Cambria Math" w:cs="Cambria Math"/>
          <w:bCs/>
          <w:color w:val="000000"/>
          <w:szCs w:val="24"/>
          <w:lang w:val="hy-AM"/>
        </w:rPr>
        <w:t>հ</w:t>
      </w:r>
      <w:r w:rsidRPr="005A348C">
        <w:rPr>
          <w:lang w:val="hy-AM"/>
        </w:rPr>
        <w:t xml:space="preserve">աշվեքննությունն ընդգրկող ժամանակաշրջանի ավարտի օրվա դրությամբ չի ապահովել ամբողջական անցումը հաշվապահական հաշվառման նոր համակարգին։ Ըստ այդմ </w:t>
      </w:r>
      <w:r w:rsidRPr="005A348C">
        <w:rPr>
          <w:rFonts w:cs="Sylfaen"/>
          <w:b/>
          <w:i/>
          <w:lang w:val="hy-AM"/>
        </w:rPr>
        <w:t xml:space="preserve"> </w:t>
      </w:r>
      <w:r w:rsidRPr="005A348C">
        <w:rPr>
          <w:rFonts w:cs="Sylfaen"/>
          <w:lang w:val="hy-AM"/>
        </w:rPr>
        <w:t xml:space="preserve">հաշվեքննության օբյեկտի կողմից վերահսկվող՝ </w:t>
      </w:r>
      <w:r w:rsidRPr="005A348C">
        <w:rPr>
          <w:szCs w:val="24"/>
          <w:lang w:val="hy-AM"/>
        </w:rPr>
        <w:t xml:space="preserve">  </w:t>
      </w:r>
      <w:r w:rsidRPr="005A348C">
        <w:rPr>
          <w:rFonts w:cs="Sylfaen"/>
          <w:lang w:val="hy-AM"/>
        </w:rPr>
        <w:t xml:space="preserve">պետությանը պատկանող  </w:t>
      </w:r>
      <w:r w:rsidRPr="005A348C">
        <w:rPr>
          <w:rFonts w:cs="Sylfaen"/>
          <w:szCs w:val="24"/>
          <w:lang w:val="de-DE"/>
        </w:rPr>
        <w:t>ակտիվներ</w:t>
      </w:r>
      <w:r w:rsidRPr="005A348C">
        <w:rPr>
          <w:rFonts w:cs="Sylfaen"/>
          <w:szCs w:val="24"/>
          <w:lang w:val="hy-AM"/>
        </w:rPr>
        <w:t>ի</w:t>
      </w:r>
      <w:r w:rsidRPr="005A348C">
        <w:rPr>
          <w:rFonts w:cs="Sylfaen"/>
          <w:szCs w:val="24"/>
          <w:lang w:val="de-DE"/>
        </w:rPr>
        <w:t xml:space="preserve"> և պարտավորություններ</w:t>
      </w:r>
      <w:r w:rsidRPr="005A348C">
        <w:rPr>
          <w:rFonts w:cs="Sylfaen"/>
          <w:szCs w:val="24"/>
          <w:lang w:val="hy-AM"/>
        </w:rPr>
        <w:t>ի հաշվապահական հաշվառում չի վարվում։</w:t>
      </w:r>
      <w:r w:rsidRPr="005A348C">
        <w:rPr>
          <w:rFonts w:cs="Sylfaen"/>
          <w:b/>
          <w:i/>
          <w:szCs w:val="24"/>
          <w:lang w:val="hy-AM"/>
        </w:rPr>
        <w:t xml:space="preserve"> </w:t>
      </w:r>
      <w:r w:rsidRPr="005A348C">
        <w:rPr>
          <w:lang w:val="hy-AM"/>
        </w:rPr>
        <w:t xml:space="preserve">Մասնավորապես, </w:t>
      </w:r>
      <w:r w:rsidRPr="005A348C">
        <w:rPr>
          <w:szCs w:val="24"/>
          <w:lang w:val="hy-AM"/>
        </w:rPr>
        <w:t xml:space="preserve">ՀՀՀՀՀՀՍ-ի պահանջներին և հաշվային պլանին համապատասխան հաշվապահական հաշվառման բացակայությամբ պայմանավորված  հաշվեքննության օբյեկտի </w:t>
      </w:r>
      <w:r w:rsidRPr="005A348C">
        <w:rPr>
          <w:lang w:val="hy-AM"/>
        </w:rPr>
        <w:t>հաշվեքննությունն ընդգրկող ժամանակաշրջանի ֆինանսական հաշվետվություններում  արտացոլված չէ</w:t>
      </w:r>
      <w:r w:rsidRPr="005A348C">
        <w:rPr>
          <w:rFonts w:eastAsiaTheme="minorHAnsi" w:cs="Calibri"/>
          <w:szCs w:val="24"/>
          <w:lang w:val="hy-AM"/>
        </w:rPr>
        <w:t xml:space="preserve">  ՀՀ ՊԵԿ-ի կողմից վերահսկվող՝ 2,221,924.80 մլն.դրամ ընդհանուր գումարով ՀՀ պետական բյուջեի եկամուտների</w:t>
      </w:r>
      <w:r w:rsidRPr="005A348C">
        <w:rPr>
          <w:lang w:val="hy-AM"/>
        </w:rPr>
        <w:t xml:space="preserve">  վերաբերյալ  տեղկատվությունը։</w:t>
      </w:r>
    </w:p>
    <w:p w14:paraId="6EC6CDA3" w14:textId="77777777" w:rsidR="008A058A" w:rsidRPr="005A348C" w:rsidRDefault="008A058A" w:rsidP="003D379F">
      <w:pPr>
        <w:spacing w:before="0" w:after="0"/>
        <w:ind w:firstLine="375"/>
        <w:rPr>
          <w:lang w:val="hy-AM"/>
        </w:rPr>
      </w:pPr>
      <w:r w:rsidRPr="005A348C">
        <w:rPr>
          <w:szCs w:val="24"/>
          <w:lang w:val="hy-AM"/>
        </w:rPr>
        <w:t xml:space="preserve">Արդյունքում, </w:t>
      </w:r>
      <w:r w:rsidRPr="005A348C">
        <w:rPr>
          <w:lang w:val="hy-AM"/>
        </w:rPr>
        <w:t xml:space="preserve"> հաշվեքննության օբյեկտի կողմից  չի ապահովվել հաշվեքննությունն ընդգրկող ժամանակաշրջանի ֆինանսական հաշվետվություններում դրամական հոսքերի, ակտիվների, զուտ ակտիվների, պարտավորությունների և գործունեության արդյունքների (հասույթ</w:t>
      </w:r>
      <w:r w:rsidRPr="005A348C">
        <w:rPr>
          <w:lang w:val="hy-AM"/>
        </w:rPr>
        <w:softHyphen/>
        <w:t>նե</w:t>
      </w:r>
      <w:r w:rsidRPr="005A348C">
        <w:rPr>
          <w:lang w:val="hy-AM"/>
        </w:rPr>
        <w:softHyphen/>
        <w:t>րի և ծախ</w:t>
      </w:r>
      <w:r w:rsidRPr="005A348C">
        <w:rPr>
          <w:lang w:val="hy-AM"/>
        </w:rPr>
        <w:softHyphen/>
        <w:t xml:space="preserve">սերի) վերաբերյալ տեղեկատվության ճշմարիտ/արժանահավատ  ներկայացումը։  </w:t>
      </w:r>
    </w:p>
    <w:p w14:paraId="5BCBE345" w14:textId="77777777" w:rsidR="008A058A" w:rsidRDefault="008A058A" w:rsidP="008A058A">
      <w:pPr>
        <w:spacing w:after="0"/>
        <w:rPr>
          <w:rFonts w:eastAsia="Calibri"/>
          <w:b/>
          <w:i/>
          <w:szCs w:val="24"/>
          <w:lang w:val="hy-AM"/>
        </w:rPr>
      </w:pPr>
      <w:r w:rsidRPr="000F123F">
        <w:rPr>
          <w:rFonts w:eastAsia="Calibri"/>
          <w:b/>
          <w:i/>
          <w:szCs w:val="24"/>
          <w:lang w:val="hy-AM"/>
        </w:rPr>
        <w:t>Հաշվեքննության օբյեկտի արձագանքը</w:t>
      </w:r>
    </w:p>
    <w:p w14:paraId="37DAAE0D" w14:textId="77777777" w:rsidR="00A90027" w:rsidRPr="00A90027" w:rsidRDefault="00A90027" w:rsidP="00A90027">
      <w:pPr>
        <w:spacing w:line="240" w:lineRule="auto"/>
        <w:ind w:firstLine="567"/>
        <w:rPr>
          <w:szCs w:val="24"/>
          <w:lang w:val="hy-AM"/>
        </w:rPr>
      </w:pPr>
      <w:r w:rsidRPr="00A90027">
        <w:rPr>
          <w:szCs w:val="24"/>
          <w:lang w:val="hy-AM"/>
        </w:rPr>
        <w:t>Կոմիտեն նշված կետի վերաբերյալ հայտնում է, որ հաշվեքննողների կողմից ամբողջու</w:t>
      </w:r>
      <w:r w:rsidRPr="00A90027">
        <w:rPr>
          <w:szCs w:val="24"/>
          <w:lang w:val="hy-AM"/>
        </w:rPr>
        <w:softHyphen/>
        <w:t>թյամբ խեղաթյուրվել են տվյալ հարցի վերաբերյալ բոլոր փաստերը: Մասնավորապես, հաշվեքննությունն ընդգրկող ժամանակաշրջանի ֆինանսական հաշվետվությունները հաշվե</w:t>
      </w:r>
      <w:r w:rsidRPr="00A90027">
        <w:rPr>
          <w:szCs w:val="24"/>
          <w:lang w:val="hy-AM"/>
        </w:rPr>
        <w:softHyphen/>
        <w:t>քննո</w:t>
      </w:r>
      <w:r w:rsidRPr="00A90027">
        <w:rPr>
          <w:szCs w:val="24"/>
          <w:lang w:val="hy-AM"/>
        </w:rPr>
        <w:softHyphen/>
        <w:t>ղների կողմից չեն ուսումնասիրվել և չէին կարող ուսումնասիրվել, քանի որ 2023 թվականի ֆինանսական հաշվետվությունների փաթեթը, համաձայն ՀՀ ֆինանսների նախա</w:t>
      </w:r>
      <w:r w:rsidRPr="00A90027">
        <w:rPr>
          <w:szCs w:val="24"/>
          <w:lang w:val="hy-AM"/>
        </w:rPr>
        <w:softHyphen/>
        <w:t>րարի 09</w:t>
      </w:r>
      <w:r w:rsidRPr="00A90027">
        <w:rPr>
          <w:rFonts w:ascii="Cambria Math" w:hAnsi="Cambria Math" w:cs="Cambria Math"/>
          <w:szCs w:val="24"/>
          <w:lang w:val="hy-AM"/>
        </w:rPr>
        <w:t>․</w:t>
      </w:r>
      <w:r w:rsidRPr="00A90027">
        <w:rPr>
          <w:szCs w:val="24"/>
          <w:lang w:val="hy-AM"/>
        </w:rPr>
        <w:t>04</w:t>
      </w:r>
      <w:r w:rsidRPr="00A90027">
        <w:rPr>
          <w:rFonts w:ascii="Cambria Math" w:hAnsi="Cambria Math" w:cs="Cambria Math"/>
          <w:szCs w:val="24"/>
          <w:lang w:val="hy-AM"/>
        </w:rPr>
        <w:t>․</w:t>
      </w:r>
      <w:r w:rsidRPr="00A90027">
        <w:rPr>
          <w:szCs w:val="24"/>
          <w:lang w:val="hy-AM"/>
        </w:rPr>
        <w:t>2024 թվականի N 01/3-1/7634-2024 գրության, պետք է ՀՀ ֆինանսների նախարա</w:t>
      </w:r>
      <w:r w:rsidRPr="00A90027">
        <w:rPr>
          <w:szCs w:val="24"/>
          <w:lang w:val="hy-AM"/>
        </w:rPr>
        <w:softHyphen/>
        <w:t>րություն (այսուհետ՝ Լիազոր մարմին) ներկայացվի մինչև ս</w:t>
      </w:r>
      <w:r w:rsidRPr="00A90027">
        <w:rPr>
          <w:rFonts w:ascii="Cambria Math" w:hAnsi="Cambria Math" w:cs="Cambria Math"/>
          <w:szCs w:val="24"/>
          <w:lang w:val="hy-AM"/>
        </w:rPr>
        <w:t>․</w:t>
      </w:r>
      <w:r w:rsidRPr="00A90027">
        <w:rPr>
          <w:szCs w:val="24"/>
          <w:lang w:val="hy-AM"/>
        </w:rPr>
        <w:t>թ</w:t>
      </w:r>
      <w:r w:rsidRPr="00A90027">
        <w:rPr>
          <w:rFonts w:ascii="Cambria Math" w:hAnsi="Cambria Math" w:cs="Cambria Math"/>
          <w:szCs w:val="24"/>
          <w:lang w:val="hy-AM"/>
        </w:rPr>
        <w:t xml:space="preserve">․ </w:t>
      </w:r>
      <w:r w:rsidRPr="00A90027">
        <w:rPr>
          <w:szCs w:val="24"/>
          <w:lang w:val="hy-AM"/>
        </w:rPr>
        <w:t>ապրիլի 30-ը։ Ուստի, հաշվեքննո</w:t>
      </w:r>
      <w:r w:rsidRPr="00A90027">
        <w:rPr>
          <w:szCs w:val="24"/>
          <w:lang w:val="hy-AM"/>
        </w:rPr>
        <w:softHyphen/>
        <w:t xml:space="preserve">ղների այն պնդումը, թե </w:t>
      </w:r>
      <w:r w:rsidRPr="00A90027">
        <w:rPr>
          <w:szCs w:val="24"/>
          <w:lang w:val="hy-AM"/>
        </w:rPr>
        <w:lastRenderedPageBreak/>
        <w:t xml:space="preserve">«Արդյունքում, հաշվեքննության օբյեկտի կողմից չի ապահովվել </w:t>
      </w:r>
      <w:r w:rsidRPr="00A90027">
        <w:rPr>
          <w:b/>
          <w:szCs w:val="24"/>
          <w:lang w:val="hy-AM"/>
        </w:rPr>
        <w:t>հաշվե</w:t>
      </w:r>
      <w:r w:rsidRPr="00A90027">
        <w:rPr>
          <w:b/>
          <w:szCs w:val="24"/>
          <w:lang w:val="hy-AM"/>
        </w:rPr>
        <w:softHyphen/>
        <w:t>քննությունն ընդգրկող ժամանակաշրջանի ֆինանսական հաշվետվություններում</w:t>
      </w:r>
      <w:r w:rsidRPr="00A90027">
        <w:rPr>
          <w:szCs w:val="24"/>
          <w:lang w:val="hy-AM"/>
        </w:rPr>
        <w:t xml:space="preserve"> դրամա</w:t>
      </w:r>
      <w:r w:rsidRPr="00A90027">
        <w:rPr>
          <w:szCs w:val="24"/>
          <w:lang w:val="hy-AM"/>
        </w:rPr>
        <w:softHyphen/>
        <w:t>կան հոսքերի, ակտիվների, զուտ ակտիվների, պարտավորությունների և գործունեության արդյունքների (հասույթ</w:t>
      </w:r>
      <w:r w:rsidRPr="00A90027">
        <w:rPr>
          <w:szCs w:val="24"/>
          <w:lang w:val="hy-AM"/>
        </w:rPr>
        <w:softHyphen/>
        <w:t>նե</w:t>
      </w:r>
      <w:r w:rsidRPr="00A90027">
        <w:rPr>
          <w:szCs w:val="24"/>
          <w:lang w:val="hy-AM"/>
        </w:rPr>
        <w:softHyphen/>
        <w:t>րի և ծախ</w:t>
      </w:r>
      <w:r w:rsidRPr="00A90027">
        <w:rPr>
          <w:szCs w:val="24"/>
          <w:lang w:val="hy-AM"/>
        </w:rPr>
        <w:softHyphen/>
        <w:t>սերի) վերաբերյալ տեղեկատվության ճշմա</w:t>
      </w:r>
      <w:r w:rsidRPr="00A90027">
        <w:rPr>
          <w:szCs w:val="24"/>
          <w:lang w:val="hy-AM"/>
        </w:rPr>
        <w:softHyphen/>
        <w:t>րիտ</w:t>
      </w:r>
      <w:r w:rsidRPr="00A90027">
        <w:rPr>
          <w:szCs w:val="24"/>
          <w:lang w:val="hy-AM"/>
        </w:rPr>
        <w:softHyphen/>
        <w:t>/արժա</w:t>
      </w:r>
      <w:r w:rsidRPr="00A90027">
        <w:rPr>
          <w:szCs w:val="24"/>
          <w:lang w:val="hy-AM"/>
        </w:rPr>
        <w:softHyphen/>
        <w:t>նա</w:t>
      </w:r>
      <w:r w:rsidRPr="00A90027">
        <w:rPr>
          <w:szCs w:val="24"/>
          <w:lang w:val="hy-AM"/>
        </w:rPr>
        <w:softHyphen/>
        <w:t>հավատ ներկա</w:t>
      </w:r>
      <w:r w:rsidRPr="00A90027">
        <w:rPr>
          <w:szCs w:val="24"/>
          <w:lang w:val="hy-AM"/>
        </w:rPr>
        <w:softHyphen/>
        <w:t>յացումը», չի համապատասխանում իրականությանը, քանի որ նման հաշվետվու</w:t>
      </w:r>
      <w:r w:rsidRPr="00A90027">
        <w:rPr>
          <w:szCs w:val="24"/>
          <w:lang w:val="hy-AM"/>
        </w:rPr>
        <w:softHyphen/>
        <w:t xml:space="preserve">թյունների փաթեթ գոյություն չունի։ </w:t>
      </w:r>
    </w:p>
    <w:p w14:paraId="5B53F659" w14:textId="77777777" w:rsidR="00A90027" w:rsidRPr="00A90027" w:rsidRDefault="00A90027" w:rsidP="00A90027">
      <w:pPr>
        <w:spacing w:before="0" w:after="0" w:line="240" w:lineRule="auto"/>
        <w:ind w:firstLine="567"/>
        <w:rPr>
          <w:szCs w:val="24"/>
          <w:lang w:val="hy-AM"/>
        </w:rPr>
      </w:pPr>
      <w:r w:rsidRPr="00A90027">
        <w:rPr>
          <w:szCs w:val="24"/>
          <w:lang w:val="hy-AM"/>
        </w:rPr>
        <w:t>Բացի այդ, «Հանրային հատվածի կազմակերպությունների հաշվապահական հաշվառման մասին» ՀՀ օրենքի 18-րդ հոդվածի 3-րդ մասի համաձայն՝ Հայաստանի Հանրապետության՝ որպես մեկ միասնական միավորի, ֆինանսական հաշվետվությունները պատրաստում է Լիազոր մարմինը։ ՀՀ Կառավարության 22</w:t>
      </w:r>
      <w:r w:rsidRPr="00A90027">
        <w:rPr>
          <w:rFonts w:ascii="Cambria Math" w:hAnsi="Cambria Math" w:cs="Cambria Math"/>
          <w:szCs w:val="24"/>
          <w:lang w:val="hy-AM"/>
        </w:rPr>
        <w:t>․</w:t>
      </w:r>
      <w:r w:rsidRPr="00A90027">
        <w:rPr>
          <w:szCs w:val="24"/>
          <w:lang w:val="hy-AM"/>
        </w:rPr>
        <w:t>01</w:t>
      </w:r>
      <w:r w:rsidRPr="00A90027">
        <w:rPr>
          <w:rFonts w:ascii="Cambria Math" w:hAnsi="Cambria Math" w:cs="Cambria Math"/>
          <w:szCs w:val="24"/>
          <w:lang w:val="hy-AM"/>
        </w:rPr>
        <w:t>․</w:t>
      </w:r>
      <w:r w:rsidRPr="00A90027">
        <w:rPr>
          <w:szCs w:val="24"/>
          <w:lang w:val="hy-AM"/>
        </w:rPr>
        <w:t>2015 թվականի «Հայաստանի Հանրապետության կառա</w:t>
      </w:r>
      <w:r w:rsidRPr="00A90027">
        <w:rPr>
          <w:szCs w:val="24"/>
          <w:lang w:val="hy-AM"/>
        </w:rPr>
        <w:softHyphen/>
        <w:t>վարության լիազորած պետական կառավարման մարմին ճանաչելու մասին» N 24-Ա որոշմամբ սահմանվել է, որ «Հանրային հատվածի կազմակերպությունների հաշվապահական հաշվառման մասին» ՀՀ օրենքով նախատեսված՝ Հայաստանի Հանրապետության կառավարու</w:t>
      </w:r>
      <w:r w:rsidRPr="00A90027">
        <w:rPr>
          <w:szCs w:val="24"/>
          <w:lang w:val="hy-AM"/>
        </w:rPr>
        <w:softHyphen/>
        <w:t>թյան պետա</w:t>
      </w:r>
      <w:r w:rsidRPr="00A90027">
        <w:rPr>
          <w:szCs w:val="24"/>
          <w:lang w:val="hy-AM"/>
        </w:rPr>
        <w:softHyphen/>
        <w:t>կան կառավարման լիազոր մարմին ճանաչել Հայաստանի Հանրապետության ֆինանս</w:t>
      </w:r>
      <w:r w:rsidRPr="00A90027">
        <w:rPr>
          <w:szCs w:val="24"/>
          <w:lang w:val="hy-AM"/>
        </w:rPr>
        <w:softHyphen/>
        <w:t>ների նախարարությանը։ Հետևաբար, Լիազոր մարմնի կողմից ներկայացվող Հայաս</w:t>
      </w:r>
      <w:r w:rsidRPr="00A90027">
        <w:rPr>
          <w:szCs w:val="24"/>
          <w:lang w:val="hy-AM"/>
        </w:rPr>
        <w:softHyphen/>
        <w:t>տանի Հանրա</w:t>
      </w:r>
      <w:r w:rsidRPr="00A90027">
        <w:rPr>
          <w:szCs w:val="24"/>
          <w:lang w:val="hy-AM"/>
        </w:rPr>
        <w:softHyphen/>
        <w:t>պետության՝ որպես մեկ միասնական միավորի, ֆինանսական հաշվետվություն</w:t>
      </w:r>
      <w:r w:rsidRPr="00A90027">
        <w:rPr>
          <w:szCs w:val="24"/>
          <w:lang w:val="hy-AM"/>
        </w:rPr>
        <w:softHyphen/>
        <w:t>ներն իրենց մեջ արդեն ներառում են «Հայաստանի Հանրապետության բյուջետային համա</w:t>
      </w:r>
      <w:r w:rsidRPr="00A90027">
        <w:rPr>
          <w:szCs w:val="24"/>
          <w:lang w:val="hy-AM"/>
        </w:rPr>
        <w:softHyphen/>
        <w:t>կարգի մասին» ՀՀ օրենքով սահմանված բյուջեի եկամուտներն ու ծախսերը։ Իսկ Կոմիտեի ֆինանսական հաշվե</w:t>
      </w:r>
      <w:r w:rsidRPr="00A90027">
        <w:rPr>
          <w:szCs w:val="24"/>
          <w:lang w:val="hy-AM"/>
        </w:rPr>
        <w:softHyphen/>
        <w:t>տվությունները և նրանցում ներառված տեղեկատվությունները հանդի</w:t>
      </w:r>
      <w:r w:rsidRPr="00A90027">
        <w:rPr>
          <w:szCs w:val="24"/>
          <w:lang w:val="hy-AM"/>
        </w:rPr>
        <w:softHyphen/>
        <w:t>սանում են Հայաստանի Հանրապետության՝ որպես մեկ միասնական միավորի և ֆինանսական հաշվետվությունների բաղկացուցիչ մասը։</w:t>
      </w:r>
    </w:p>
    <w:p w14:paraId="3F1E9511" w14:textId="77777777" w:rsidR="00A90027" w:rsidRPr="00A90027" w:rsidRDefault="00A90027" w:rsidP="00A90027">
      <w:pPr>
        <w:spacing w:before="0" w:after="0" w:line="240" w:lineRule="auto"/>
        <w:ind w:firstLine="567"/>
        <w:rPr>
          <w:rFonts w:cs="Cambria Math"/>
          <w:b/>
          <w:szCs w:val="24"/>
          <w:lang w:val="hy-AM"/>
        </w:rPr>
      </w:pPr>
      <w:r w:rsidRPr="00A90027">
        <w:rPr>
          <w:b/>
          <w:szCs w:val="24"/>
          <w:lang w:val="hy-AM"/>
        </w:rPr>
        <w:t xml:space="preserve">Ելնելով վերոգրյալից </w:t>
      </w:r>
      <w:r w:rsidRPr="00A90027">
        <w:rPr>
          <w:rFonts w:cs="Cambria Math"/>
          <w:b/>
          <w:szCs w:val="24"/>
          <w:lang w:val="hy-AM"/>
        </w:rPr>
        <w:t>առաջարկում ենք արձանագրության 8-րդ կետը ամբողջությամբ հանել, քանի որ հաշվեքննողների կողմից կատարված եզրակացու</w:t>
      </w:r>
      <w:r w:rsidRPr="00A90027">
        <w:rPr>
          <w:rFonts w:cs="Cambria Math"/>
          <w:b/>
          <w:szCs w:val="24"/>
          <w:lang w:val="hy-AM"/>
        </w:rPr>
        <w:softHyphen/>
        <w:t>թյուններն իրականու</w:t>
      </w:r>
      <w:r w:rsidRPr="00A90027">
        <w:rPr>
          <w:rFonts w:cs="Cambria Math"/>
          <w:b/>
          <w:szCs w:val="24"/>
          <w:lang w:val="hy-AM"/>
        </w:rPr>
        <w:softHyphen/>
        <w:t>թ</w:t>
      </w:r>
      <w:r w:rsidRPr="00A90027">
        <w:rPr>
          <w:rFonts w:cs="Cambria Math"/>
          <w:b/>
          <w:szCs w:val="24"/>
          <w:lang w:val="hy-AM"/>
        </w:rPr>
        <w:softHyphen/>
        <w:t>յանը չեն համապատասխանում և որևէ իրավական հիմնա</w:t>
      </w:r>
      <w:r w:rsidRPr="00A90027">
        <w:rPr>
          <w:rFonts w:cs="Cambria Math"/>
          <w:b/>
          <w:szCs w:val="24"/>
          <w:lang w:val="hy-AM"/>
        </w:rPr>
        <w:softHyphen/>
        <w:t>վորում չունեն։</w:t>
      </w:r>
    </w:p>
    <w:p w14:paraId="134973C3" w14:textId="77777777" w:rsidR="008A058A" w:rsidRPr="000F123F" w:rsidRDefault="008A058A" w:rsidP="008A058A">
      <w:pPr>
        <w:spacing w:before="0" w:after="0"/>
        <w:rPr>
          <w:rFonts w:eastAsia="Calibri"/>
          <w:b/>
          <w:i/>
          <w:szCs w:val="24"/>
          <w:lang w:val="hy-AM"/>
        </w:rPr>
      </w:pPr>
      <w:r w:rsidRPr="000F123F">
        <w:rPr>
          <w:rFonts w:eastAsia="Calibri"/>
          <w:b/>
          <w:i/>
          <w:szCs w:val="24"/>
          <w:lang w:val="hy-AM"/>
        </w:rPr>
        <w:t>Հաշվեքննողների մեկնաբանությունը</w:t>
      </w:r>
    </w:p>
    <w:p w14:paraId="03EAB75E" w14:textId="6F90C8DD" w:rsidR="008A058A" w:rsidRDefault="00A63664" w:rsidP="008A058A">
      <w:pPr>
        <w:shd w:val="clear" w:color="auto" w:fill="FFFFFF"/>
        <w:spacing w:before="0" w:after="0"/>
        <w:ind w:firstLine="375"/>
        <w:rPr>
          <w:lang w:val="hy-AM"/>
        </w:rPr>
      </w:pPr>
      <w:r w:rsidRPr="005A348C">
        <w:rPr>
          <w:rFonts w:eastAsiaTheme="minorHAnsi" w:cs="Calibri"/>
          <w:szCs w:val="24"/>
          <w:lang w:val="hy-AM"/>
        </w:rPr>
        <w:t>ՊԵԿ-ի կողմից վերահսկվող</w:t>
      </w:r>
      <w:r>
        <w:rPr>
          <w:rFonts w:eastAsiaTheme="minorHAnsi" w:cs="Calibri"/>
          <w:szCs w:val="24"/>
          <w:lang w:val="hy-AM"/>
        </w:rPr>
        <w:t xml:space="preserve">, պետությանը պատկանող՝ </w:t>
      </w:r>
      <w:r w:rsidRPr="005A348C">
        <w:rPr>
          <w:rFonts w:eastAsiaTheme="minorHAnsi" w:cs="Calibri"/>
          <w:szCs w:val="24"/>
          <w:lang w:val="hy-AM"/>
        </w:rPr>
        <w:t>2,221,924.80 մլն.դրամ ընդհանուր գումարով ՀՀ պետական բյուջեի եկամուտների</w:t>
      </w:r>
      <w:r>
        <w:rPr>
          <w:rFonts w:eastAsiaTheme="minorHAnsi" w:cs="Calibri"/>
          <w:szCs w:val="24"/>
          <w:lang w:val="hy-AM"/>
        </w:rPr>
        <w:t xml:space="preserve"> հաշվապահական հաշվառում չվարելու և </w:t>
      </w:r>
      <w:r w:rsidRPr="005A348C">
        <w:rPr>
          <w:lang w:val="hy-AM"/>
        </w:rPr>
        <w:t xml:space="preserve">հաշվեքննությունն ընդգրկող ժամանակաշրջանի ֆինանսական հաշվետվություններում  </w:t>
      </w:r>
      <w:r>
        <w:rPr>
          <w:lang w:val="hy-AM"/>
        </w:rPr>
        <w:t xml:space="preserve">չարտացոլելու վերաբերյալ փաստն արձանագրվել է  </w:t>
      </w:r>
      <w:r w:rsidR="00BF5873">
        <w:rPr>
          <w:lang w:val="hy-AM"/>
        </w:rPr>
        <w:t xml:space="preserve">ՊԵկ-ի կողմից նույն ժամանակաշրջանում կիրառված հաշվային պլանի հաշվապահական հաշիվներում կատարված գրանցումների, </w:t>
      </w:r>
      <w:r w:rsidR="002F7C43">
        <w:rPr>
          <w:lang w:val="hy-AM"/>
        </w:rPr>
        <w:t xml:space="preserve">սինթետիկ հաշիվների շրջանառության տեղեկագրում </w:t>
      </w:r>
      <w:r w:rsidR="002F7C43">
        <w:rPr>
          <w:lang w:val="hy-AM"/>
        </w:rPr>
        <w:lastRenderedPageBreak/>
        <w:t>ընդհանրացված տեղեկատվության ուսումնասիրության արդյունքների</w:t>
      </w:r>
      <w:r w:rsidR="00BF5873">
        <w:rPr>
          <w:lang w:val="hy-AM"/>
        </w:rPr>
        <w:t xml:space="preserve"> հիման վրա</w:t>
      </w:r>
      <w:r w:rsidR="002F7C43">
        <w:rPr>
          <w:lang w:val="hy-AM"/>
        </w:rPr>
        <w:t xml:space="preserve">։ </w:t>
      </w:r>
      <w:r w:rsidR="00536B88">
        <w:rPr>
          <w:lang w:val="hy-AM"/>
        </w:rPr>
        <w:t xml:space="preserve">Պարզվել է, </w:t>
      </w:r>
      <w:r w:rsidR="00A84FAC">
        <w:rPr>
          <w:lang w:val="hy-AM"/>
        </w:rPr>
        <w:t xml:space="preserve"> օրինակ, </w:t>
      </w:r>
      <w:r w:rsidR="00536B88">
        <w:rPr>
          <w:lang w:val="hy-AM"/>
        </w:rPr>
        <w:t xml:space="preserve"> որ</w:t>
      </w:r>
      <w:r w:rsidR="00D909AF">
        <w:rPr>
          <w:lang w:val="hy-AM"/>
        </w:rPr>
        <w:t xml:space="preserve"> </w:t>
      </w:r>
      <w:r w:rsidR="00A84FAC">
        <w:rPr>
          <w:lang w:val="hy-AM"/>
        </w:rPr>
        <w:t xml:space="preserve"> Պեկ-ի կողմից վերահսկվող՝ պետությանը պատկանող</w:t>
      </w:r>
      <w:r w:rsidR="00536B88">
        <w:rPr>
          <w:lang w:val="hy-AM"/>
        </w:rPr>
        <w:t xml:space="preserve"> հարկերի և այլ պարտադիր </w:t>
      </w:r>
      <w:r w:rsidR="00A84FAC">
        <w:rPr>
          <w:lang w:val="hy-AM"/>
        </w:rPr>
        <w:t>վճ</w:t>
      </w:r>
      <w:r w:rsidR="00536B88">
        <w:rPr>
          <w:lang w:val="hy-AM"/>
        </w:rPr>
        <w:t>արների գծով դրամական հոսքերի,</w:t>
      </w:r>
      <w:r w:rsidR="00A84FAC">
        <w:rPr>
          <w:lang w:val="hy-AM"/>
        </w:rPr>
        <w:t xml:space="preserve"> հասույթների, պարտավորությունների </w:t>
      </w:r>
      <w:r w:rsidR="00A84FAC" w:rsidRPr="00A84FAC">
        <w:rPr>
          <w:lang w:val="hy-AM"/>
        </w:rPr>
        <w:t>(</w:t>
      </w:r>
      <w:r w:rsidR="00A84FAC">
        <w:rPr>
          <w:lang w:val="hy-AM"/>
        </w:rPr>
        <w:t>այդ թվում կանխավճարների</w:t>
      </w:r>
      <w:r w:rsidR="00A84FAC" w:rsidRPr="00A84FAC">
        <w:rPr>
          <w:lang w:val="hy-AM"/>
        </w:rPr>
        <w:t>)</w:t>
      </w:r>
      <w:r w:rsidR="00D909AF">
        <w:rPr>
          <w:lang w:val="hy-AM"/>
        </w:rPr>
        <w:t xml:space="preserve"> և այլն հաշվապահական հաշվառում չի վարվում, այն դեպքում</w:t>
      </w:r>
      <w:r w:rsidR="00E57CF4" w:rsidRPr="00E57CF4">
        <w:rPr>
          <w:lang w:val="hy-AM"/>
        </w:rPr>
        <w:t>, երբ</w:t>
      </w:r>
      <w:r w:rsidR="00D909AF">
        <w:rPr>
          <w:lang w:val="hy-AM"/>
        </w:rPr>
        <w:t xml:space="preserve"> այդպիսի պահանջ սահմանված է ՀՀՀՀՀՀՍ-ով, դրա համար համապատասխան հաշվապահական հաշիվներ են սահմանված հաշվային պլանով</w:t>
      </w:r>
      <w:r w:rsidR="00DF539E">
        <w:rPr>
          <w:lang w:val="hy-AM"/>
        </w:rPr>
        <w:t>,</w:t>
      </w:r>
      <w:r w:rsidR="00D909AF">
        <w:rPr>
          <w:lang w:val="hy-AM"/>
        </w:rPr>
        <w:t xml:space="preserve"> իսկ վարման կարգը</w:t>
      </w:r>
      <w:r w:rsidR="00DF539E">
        <w:rPr>
          <w:lang w:val="hy-AM"/>
        </w:rPr>
        <w:t>՝</w:t>
      </w:r>
      <w:r w:rsidR="00D909AF">
        <w:rPr>
          <w:lang w:val="hy-AM"/>
        </w:rPr>
        <w:t xml:space="preserve"> հաշվային պլանի կիրառման հրահանգով։ </w:t>
      </w:r>
    </w:p>
    <w:p w14:paraId="5E89351D" w14:textId="50C0797F" w:rsidR="00791E64" w:rsidRPr="005A348C" w:rsidRDefault="00080512" w:rsidP="00791E64">
      <w:pPr>
        <w:spacing w:before="0" w:after="0"/>
        <w:ind w:firstLine="375"/>
        <w:rPr>
          <w:lang w:val="hy-AM"/>
        </w:rPr>
      </w:pPr>
      <w:r>
        <w:rPr>
          <w:lang w:val="hy-AM"/>
        </w:rPr>
        <w:t>Տվյալ դեպքում</w:t>
      </w:r>
      <w:r w:rsidR="00275328">
        <w:rPr>
          <w:lang w:val="hy-AM"/>
        </w:rPr>
        <w:t xml:space="preserve"> հաշվեքննողներ</w:t>
      </w:r>
      <w:r w:rsidR="00B23A1C">
        <w:rPr>
          <w:lang w:val="hy-AM"/>
        </w:rPr>
        <w:t>ը, ելնելով</w:t>
      </w:r>
      <w:r w:rsidR="00275328">
        <w:rPr>
          <w:lang w:val="hy-AM"/>
        </w:rPr>
        <w:t xml:space="preserve"> </w:t>
      </w:r>
      <w:r w:rsidR="00B23A1C">
        <w:rPr>
          <w:lang w:val="hy-AM"/>
        </w:rPr>
        <w:t>ՀՀՀՀՀՀՍ-ի</w:t>
      </w:r>
      <w:r w:rsidR="00DF539E">
        <w:rPr>
          <w:lang w:val="hy-AM"/>
        </w:rPr>
        <w:t xml:space="preserve"> </w:t>
      </w:r>
      <w:r w:rsidR="00B23A1C">
        <w:rPr>
          <w:lang w:val="hy-AM"/>
        </w:rPr>
        <w:t xml:space="preserve">2․11 պարագրաֆով սահմանված՝  «Ձևի նկատմամբ բովանդակության գերակայություն» սկզբունքից, </w:t>
      </w:r>
      <w:r w:rsidR="00275328">
        <w:rPr>
          <w:lang w:val="hy-AM"/>
        </w:rPr>
        <w:t>առկա խնդիրն ըստ էության և տնտեսական իրականությանը համահունչ ներկայացնելու</w:t>
      </w:r>
      <w:r w:rsidR="00B23A1C">
        <w:rPr>
          <w:lang w:val="hy-AM"/>
        </w:rPr>
        <w:t xml:space="preserve"> նկատառմամբ</w:t>
      </w:r>
      <w:r w:rsidR="00275328">
        <w:rPr>
          <w:lang w:val="hy-AM"/>
        </w:rPr>
        <w:t xml:space="preserve">  </w:t>
      </w:r>
      <w:r w:rsidR="00791E64">
        <w:rPr>
          <w:lang w:val="hy-AM"/>
        </w:rPr>
        <w:t>ար</w:t>
      </w:r>
      <w:r w:rsidR="00D869C6" w:rsidRPr="00D869C6">
        <w:rPr>
          <w:lang w:val="hy-AM"/>
        </w:rPr>
        <w:t>ա</w:t>
      </w:r>
      <w:r w:rsidR="00791E64">
        <w:rPr>
          <w:lang w:val="hy-AM"/>
        </w:rPr>
        <w:t xml:space="preserve">ձանգրել են, որ </w:t>
      </w:r>
      <w:r w:rsidR="00791E64" w:rsidRPr="005A348C">
        <w:rPr>
          <w:szCs w:val="24"/>
          <w:lang w:val="hy-AM"/>
        </w:rPr>
        <w:t xml:space="preserve">հաշվեքննության օբյեկտի </w:t>
      </w:r>
      <w:r w:rsidR="00791E64" w:rsidRPr="005A348C">
        <w:rPr>
          <w:lang w:val="hy-AM"/>
        </w:rPr>
        <w:t>հաշվեքննությունն ընդգրկող ժամանակաշրջանի ֆինանսական հաշվետվություններում  արտացոլված չէ</w:t>
      </w:r>
      <w:r w:rsidR="00791E64" w:rsidRPr="005A348C">
        <w:rPr>
          <w:rFonts w:eastAsiaTheme="minorHAnsi" w:cs="Calibri"/>
          <w:szCs w:val="24"/>
          <w:lang w:val="hy-AM"/>
        </w:rPr>
        <w:t xml:space="preserve">  ՀՀ ՊԵԿ-ի կողմից վերահսկվող՝ ՀՀ պետական բյուջեի եկամուտների</w:t>
      </w:r>
      <w:r w:rsidR="00791E64" w:rsidRPr="005A348C">
        <w:rPr>
          <w:lang w:val="hy-AM"/>
        </w:rPr>
        <w:t xml:space="preserve">  վերաբերյալ  տեղկատվությունը։</w:t>
      </w:r>
      <w:r w:rsidR="00791E64">
        <w:rPr>
          <w:lang w:val="hy-AM"/>
        </w:rPr>
        <w:t xml:space="preserve"> Նշված անհամապատասխանությունը  պայմանավորված է  </w:t>
      </w:r>
      <w:r w:rsidR="00791E64" w:rsidRPr="005A348C">
        <w:rPr>
          <w:szCs w:val="24"/>
          <w:lang w:val="hy-AM"/>
        </w:rPr>
        <w:t>ՀՀՀՀՀՀՍ-ի պահանջներին և հաշվային պլանին համապատասխան</w:t>
      </w:r>
      <w:r w:rsidR="00791E64">
        <w:rPr>
          <w:szCs w:val="24"/>
          <w:lang w:val="hy-AM"/>
        </w:rPr>
        <w:t xml:space="preserve"> </w:t>
      </w:r>
      <w:r w:rsidR="00791E64" w:rsidRPr="005A348C">
        <w:rPr>
          <w:rFonts w:eastAsiaTheme="minorHAnsi" w:cs="Calibri"/>
          <w:szCs w:val="24"/>
          <w:lang w:val="hy-AM"/>
        </w:rPr>
        <w:t>ՀՀ պետական բյուջեի եկամուտների</w:t>
      </w:r>
      <w:r w:rsidR="00791E64" w:rsidRPr="005A348C">
        <w:rPr>
          <w:szCs w:val="24"/>
          <w:lang w:val="hy-AM"/>
        </w:rPr>
        <w:t xml:space="preserve"> հաշվապահական հաշվառման բացակայությամբ</w:t>
      </w:r>
      <w:r w:rsidR="00791E64">
        <w:rPr>
          <w:szCs w:val="24"/>
          <w:lang w:val="hy-AM"/>
        </w:rPr>
        <w:t xml:space="preserve">, անկախ ֆինանսական </w:t>
      </w:r>
      <w:r w:rsidR="00791E64" w:rsidRPr="003F37AC">
        <w:rPr>
          <w:lang w:val="hy-AM"/>
        </w:rPr>
        <w:t>հաշվետվությունների ներկայացման ժամկետներից</w:t>
      </w:r>
      <w:r w:rsidR="00DF539E" w:rsidRPr="003F37AC">
        <w:rPr>
          <w:lang w:val="hy-AM"/>
        </w:rPr>
        <w:t>։</w:t>
      </w:r>
    </w:p>
    <w:p w14:paraId="2EAFDCF5" w14:textId="77777777" w:rsidR="003F37AC" w:rsidRPr="003F37AC" w:rsidRDefault="00DF539E" w:rsidP="003F37AC">
      <w:pPr>
        <w:spacing w:before="0" w:after="0"/>
        <w:ind w:firstLine="375"/>
        <w:rPr>
          <w:lang w:val="hy-AM"/>
        </w:rPr>
      </w:pPr>
      <w:r w:rsidRPr="003F37AC">
        <w:rPr>
          <w:lang w:val="hy-AM"/>
        </w:rPr>
        <w:t xml:space="preserve">Ինչ վերաբերում է «Հանրային հատվածի կազմակերպությունների հաշվապահական հաշվառման մասին» ՀՀ օրենքի 18-րդ հոդվածի 3-րդ մասի համաձայն՝ Հայաստանի Հանրապետության՝ որպես մեկ միասնական միավորի, ֆինանսական հաշվետվությունները Լիազոր մարմնի կողմից պատրաստելու  վերաբերյալ </w:t>
      </w:r>
      <w:r w:rsidR="00671B4E" w:rsidRPr="003F37AC">
        <w:rPr>
          <w:lang w:val="hy-AM"/>
        </w:rPr>
        <w:t>արձագանքին</w:t>
      </w:r>
      <w:r w:rsidRPr="003F37AC">
        <w:rPr>
          <w:lang w:val="hy-AM"/>
        </w:rPr>
        <w:t xml:space="preserve">, ապա </w:t>
      </w:r>
      <w:r w:rsidR="003F37AC" w:rsidRPr="003F37AC">
        <w:rPr>
          <w:lang w:val="hy-AM"/>
        </w:rPr>
        <w:t>այն ապահովելու համար, ինչպես սահմանված է նույն օրենքի 18-րդ հոդվածի 1-ին մասով «Բոլոր կազմակերպություններն անալիտիկ և սինթետիկ հաշվառման տվյալների հիման վրա պարտավոր են կազմել առանձին կամ անհատական ֆինանսական հաշվետվություններ»։ Ըստ այդմ առանց առանձին կազմված և ներկայացված ֆինանսական հաշվետվությունների  լիազոր մարմինը  չի կարող  պատրաստել  Հայաստանի Հանրապետության՝ որպես մեկ միասնական միավորի, ֆինանսական հաշվետվությունները։</w:t>
      </w:r>
    </w:p>
    <w:p w14:paraId="0FB5EF23" w14:textId="5774961E" w:rsidR="00B23A1C" w:rsidRDefault="00B23A1C" w:rsidP="008A058A">
      <w:pPr>
        <w:shd w:val="clear" w:color="auto" w:fill="FFFFFF"/>
        <w:spacing w:before="0" w:after="0"/>
        <w:ind w:firstLine="375"/>
        <w:rPr>
          <w:lang w:val="hy-AM"/>
        </w:rPr>
      </w:pPr>
    </w:p>
    <w:p w14:paraId="51A3B8C0" w14:textId="77777777" w:rsidR="005D101C" w:rsidRDefault="005D101C" w:rsidP="005D101C">
      <w:pPr>
        <w:shd w:val="clear" w:color="auto" w:fill="FFFFFF"/>
        <w:spacing w:before="0"/>
        <w:ind w:firstLine="374"/>
        <w:rPr>
          <w:rFonts w:eastAsiaTheme="minorHAnsi" w:cs="Sylfaen"/>
          <w:color w:val="000000" w:themeColor="text1"/>
          <w:szCs w:val="24"/>
          <w:lang w:val="hy-AM"/>
        </w:rPr>
      </w:pPr>
    </w:p>
    <w:p w14:paraId="5F4BA47F" w14:textId="77777777" w:rsidR="005D101C" w:rsidRPr="000F123F" w:rsidRDefault="005D101C" w:rsidP="005D101C">
      <w:pPr>
        <w:numPr>
          <w:ilvl w:val="0"/>
          <w:numId w:val="1"/>
        </w:numPr>
        <w:spacing w:before="0" w:line="240" w:lineRule="auto"/>
        <w:ind w:left="0" w:firstLine="0"/>
        <w:jc w:val="center"/>
        <w:outlineLvl w:val="0"/>
        <w:rPr>
          <w:b/>
          <w:color w:val="0070C0"/>
          <w:sz w:val="28"/>
          <w:szCs w:val="28"/>
          <w:lang w:val="hy-AM"/>
        </w:rPr>
      </w:pPr>
      <w:bookmarkStart w:id="27" w:name="_Toc164676873"/>
      <w:r w:rsidRPr="000F123F">
        <w:rPr>
          <w:b/>
          <w:color w:val="0070C0"/>
          <w:sz w:val="28"/>
          <w:szCs w:val="28"/>
          <w:lang w:val="hy-AM"/>
        </w:rPr>
        <w:lastRenderedPageBreak/>
        <w:t>ԽԵՂԱԹՅՈՒՐՈՒՄՆԵՐԻ  ՎԵՐԱԲԵՐՅԱԼ ԳՐԱՌՈՒՄՆԵՐ</w:t>
      </w:r>
      <w:bookmarkEnd w:id="27"/>
    </w:p>
    <w:p w14:paraId="73F27839" w14:textId="77777777" w:rsidR="005D101C" w:rsidRPr="00EB3A3A" w:rsidRDefault="005D101C"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28" w:name="_Toc164676874"/>
      <w:r w:rsidRPr="00EB3A3A">
        <w:rPr>
          <w:rFonts w:eastAsiaTheme="majorEastAsia" w:cstheme="majorBidi"/>
          <w:b/>
          <w:i/>
          <w:color w:val="000000" w:themeColor="text1"/>
          <w:sz w:val="28"/>
          <w:szCs w:val="28"/>
          <w:lang w:val="hy-AM"/>
        </w:rPr>
        <w:t>1023-31001 «ՊԵԿ-ի տեխնիկական հագեցվածության բարելավում» միջոցառման  512900 «Այլ մեքենաներ և սարքավորումներ» և 425200 Ընթացիկ նորոգում և պահպանում տնտեսագիտական դասակարգման հոդվածներով կատարված ծախսեր</w:t>
      </w:r>
      <w:bookmarkEnd w:id="28"/>
    </w:p>
    <w:p w14:paraId="37FB059D" w14:textId="77777777" w:rsidR="005D101C" w:rsidRPr="000F123F" w:rsidRDefault="005D101C" w:rsidP="005D101C">
      <w:pPr>
        <w:spacing w:after="0"/>
        <w:ind w:firstLine="720"/>
        <w:rPr>
          <w:b/>
          <w:i/>
          <w:color w:val="000000" w:themeColor="text1"/>
          <w:szCs w:val="24"/>
          <w:lang w:val="hy-AM"/>
        </w:rPr>
      </w:pPr>
    </w:p>
    <w:p w14:paraId="341328E2" w14:textId="77777777" w:rsidR="005D101C" w:rsidRPr="000F123F" w:rsidRDefault="005D101C" w:rsidP="005D101C">
      <w:pPr>
        <w:spacing w:after="0"/>
        <w:ind w:firstLine="709"/>
        <w:rPr>
          <w:rFonts w:cs="Sylfaen"/>
          <w:b/>
          <w:i/>
          <w:color w:val="000000" w:themeColor="text1"/>
          <w:szCs w:val="24"/>
          <w:lang w:val="hy-AM"/>
        </w:rPr>
      </w:pPr>
      <w:r w:rsidRPr="000F123F">
        <w:rPr>
          <w:rFonts w:cs="Sylfaen"/>
          <w:b/>
          <w:i/>
          <w:color w:val="000000" w:themeColor="text1"/>
          <w:szCs w:val="24"/>
          <w:lang w:val="hy-AM"/>
        </w:rPr>
        <w:t xml:space="preserve">Առկա է խեղաթյուրում 512900 Այլ մեքենաներ և սարքավորումներ </w:t>
      </w:r>
      <w:r w:rsidRPr="001B763D">
        <w:rPr>
          <w:rFonts w:cs="Sylfaen"/>
          <w:b/>
          <w:i/>
          <w:color w:val="000000" w:themeColor="text1"/>
          <w:szCs w:val="24"/>
          <w:lang w:val="hy-AM"/>
        </w:rPr>
        <w:t xml:space="preserve">և 425200 Ընթացիկ նորոգում և պահպանում </w:t>
      </w:r>
      <w:r w:rsidRPr="000F123F">
        <w:rPr>
          <w:rFonts w:cs="Sylfaen"/>
          <w:b/>
          <w:i/>
          <w:color w:val="000000" w:themeColor="text1"/>
          <w:szCs w:val="24"/>
          <w:lang w:val="hy-AM"/>
        </w:rPr>
        <w:t>տնտեսագիտական դասակարգման հոդված</w:t>
      </w:r>
      <w:r w:rsidRPr="001B763D">
        <w:rPr>
          <w:rFonts w:cs="Sylfaen"/>
          <w:b/>
          <w:i/>
          <w:color w:val="000000" w:themeColor="text1"/>
          <w:szCs w:val="24"/>
          <w:lang w:val="hy-AM"/>
        </w:rPr>
        <w:t>ներ</w:t>
      </w:r>
      <w:r w:rsidRPr="000F123F">
        <w:rPr>
          <w:rFonts w:cs="Sylfaen"/>
          <w:b/>
          <w:i/>
          <w:color w:val="000000" w:themeColor="text1"/>
          <w:szCs w:val="24"/>
          <w:lang w:val="hy-AM"/>
        </w:rPr>
        <w:t xml:space="preserve">ով  կատարված ծախսերի մասով՝ </w:t>
      </w:r>
      <w:r w:rsidR="008E7C43" w:rsidRPr="008E7C43">
        <w:rPr>
          <w:rFonts w:cs="Sylfaen"/>
          <w:b/>
          <w:bCs/>
          <w:i/>
          <w:color w:val="000000" w:themeColor="text1"/>
          <w:szCs w:val="24"/>
          <w:lang w:val="hy-AM"/>
        </w:rPr>
        <w:t xml:space="preserve">773,502.58 </w:t>
      </w:r>
      <w:r w:rsidRPr="000F123F">
        <w:rPr>
          <w:rFonts w:cs="Sylfaen"/>
          <w:b/>
          <w:i/>
          <w:color w:val="000000" w:themeColor="text1"/>
          <w:szCs w:val="24"/>
          <w:lang w:val="hy-AM"/>
        </w:rPr>
        <w:t>հազ.դրամ գումարի չափով:</w:t>
      </w:r>
    </w:p>
    <w:p w14:paraId="5E143F90" w14:textId="77777777" w:rsidR="005D101C" w:rsidRPr="000F123F" w:rsidRDefault="005D101C" w:rsidP="005D101C">
      <w:pPr>
        <w:spacing w:before="0" w:after="0" w:line="256" w:lineRule="auto"/>
        <w:ind w:firstLine="720"/>
        <w:rPr>
          <w:rFonts w:eastAsia="Calibri"/>
          <w:b/>
          <w:i/>
          <w:szCs w:val="24"/>
          <w:lang w:val="hy-AM"/>
        </w:rPr>
      </w:pPr>
      <w:r w:rsidRPr="000F123F">
        <w:rPr>
          <w:rFonts w:eastAsia="Calibri"/>
          <w:b/>
          <w:i/>
          <w:szCs w:val="24"/>
          <w:lang w:val="hy-AM"/>
        </w:rPr>
        <w:t xml:space="preserve">Նշված միջոցառման շրջանակներում արձանագրված անհամապատասխանությունները, հաշվեքննության օբյեկտի արձագանքը, հաշվեքննողների մեկնաբանությունը ներկայացված է սույն եզրակացության </w:t>
      </w:r>
      <w:r w:rsidR="008E7C43" w:rsidRPr="008E7C43">
        <w:rPr>
          <w:rFonts w:eastAsia="Calibri"/>
          <w:b/>
          <w:i/>
          <w:szCs w:val="24"/>
          <w:lang w:val="hy-AM"/>
        </w:rPr>
        <w:t>2-րդ</w:t>
      </w:r>
      <w:r w:rsidRPr="000F123F">
        <w:rPr>
          <w:rFonts w:eastAsia="Calibri"/>
          <w:b/>
          <w:i/>
          <w:szCs w:val="24"/>
          <w:lang w:val="hy-AM"/>
        </w:rPr>
        <w:t xml:space="preserve"> կետում: </w:t>
      </w:r>
    </w:p>
    <w:p w14:paraId="49D772DE" w14:textId="77777777" w:rsidR="005D101C" w:rsidRPr="000F123F" w:rsidRDefault="005D101C" w:rsidP="005D101C">
      <w:pPr>
        <w:spacing w:before="0" w:after="0" w:line="256" w:lineRule="auto"/>
        <w:ind w:firstLine="720"/>
        <w:rPr>
          <w:rFonts w:eastAsia="Calibri"/>
          <w:i/>
          <w:szCs w:val="24"/>
          <w:lang w:val="hy-AM"/>
        </w:rPr>
      </w:pPr>
    </w:p>
    <w:p w14:paraId="6F46BF17" w14:textId="77777777" w:rsidR="009D13CB" w:rsidRPr="00EB3A3A" w:rsidRDefault="009D13CB"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r w:rsidRPr="00EB3A3A">
        <w:rPr>
          <w:rFonts w:eastAsiaTheme="majorEastAsia" w:cstheme="majorBidi"/>
          <w:b/>
          <w:i/>
          <w:color w:val="000000" w:themeColor="text1"/>
          <w:sz w:val="28"/>
          <w:szCs w:val="28"/>
          <w:lang w:val="hy-AM"/>
        </w:rPr>
        <w:t>1023-11003 «Հարկային և մաքսային ծառայողների վերապատրաստում» միջոցառման շրջանակներում 463700 «Ընթացիկ դրամաշնորհներ պետական և համայնքային ոչ առևտրային կազմակերպություններին» տնտեսագիտական դասակարգման հոդվածով կատարված ծախսեր և ներկայացված հաշվետվություններ</w:t>
      </w:r>
    </w:p>
    <w:p w14:paraId="081DBF9C" w14:textId="77777777" w:rsidR="009D13CB" w:rsidRPr="00616586" w:rsidRDefault="009D13CB" w:rsidP="009D13CB">
      <w:pPr>
        <w:ind w:firstLine="360"/>
        <w:rPr>
          <w:rFonts w:eastAsiaTheme="majorEastAsia" w:cstheme="majorBidi"/>
          <w:b/>
          <w:sz w:val="28"/>
          <w:szCs w:val="28"/>
          <w:lang w:val="hy-AM"/>
        </w:rPr>
      </w:pPr>
    </w:p>
    <w:p w14:paraId="4D13D79C" w14:textId="2C3DAC5F" w:rsidR="009D13CB" w:rsidRPr="009D13CB" w:rsidRDefault="009D13CB" w:rsidP="009D13CB">
      <w:pPr>
        <w:rPr>
          <w:b/>
          <w:i/>
          <w:szCs w:val="24"/>
          <w:lang w:val="hy-AM"/>
        </w:rPr>
      </w:pPr>
      <w:r w:rsidRPr="009D13CB">
        <w:rPr>
          <w:b/>
          <w:i/>
          <w:szCs w:val="24"/>
          <w:lang w:val="hy-AM"/>
        </w:rPr>
        <w:t>Առկա է խեղաթյուրում</w:t>
      </w:r>
      <w:r>
        <w:rPr>
          <w:b/>
          <w:i/>
          <w:szCs w:val="24"/>
          <w:lang w:val="hy-AM"/>
        </w:rPr>
        <w:t xml:space="preserve"> </w:t>
      </w:r>
      <w:r w:rsidRPr="009D13CB">
        <w:rPr>
          <w:b/>
          <w:i/>
          <w:szCs w:val="24"/>
          <w:lang w:val="hy-AM"/>
        </w:rPr>
        <w:t>463700 «Ընթացիկ դրամաշնորհներ պետական և համայնքային ոչ առևտրային կազմակերպություններին» տնտեսագիտական դասակարգման հոդվածով կատարված ծախսերի մասով՝ 11,619.10 հազ.դրամ գումարի չափով:</w:t>
      </w:r>
    </w:p>
    <w:p w14:paraId="0D43537E" w14:textId="3C6C7098" w:rsidR="009D13CB" w:rsidRPr="009D13CB" w:rsidRDefault="009D13CB" w:rsidP="009D13CB">
      <w:pPr>
        <w:rPr>
          <w:b/>
          <w:i/>
          <w:szCs w:val="24"/>
          <w:lang w:val="hy-AM"/>
        </w:rPr>
      </w:pPr>
      <w:r w:rsidRPr="009D13CB">
        <w:rPr>
          <w:b/>
          <w:i/>
          <w:szCs w:val="24"/>
          <w:lang w:val="hy-AM"/>
        </w:rPr>
        <w:t xml:space="preserve">Նշված միջոցառման շրջանակներում արձանագրված անհամապատասխանությունները, հաշվեքննության օբյեկտի արձագանքը, </w:t>
      </w:r>
      <w:r w:rsidRPr="009D13CB">
        <w:rPr>
          <w:b/>
          <w:i/>
          <w:szCs w:val="24"/>
          <w:lang w:val="hy-AM"/>
        </w:rPr>
        <w:lastRenderedPageBreak/>
        <w:t xml:space="preserve">հաշվեքննողների մեկնաբանությունը ներկայացված է սույն եզրակացության </w:t>
      </w:r>
      <w:r>
        <w:rPr>
          <w:b/>
          <w:i/>
          <w:szCs w:val="24"/>
          <w:lang w:val="hy-AM"/>
        </w:rPr>
        <w:t>6</w:t>
      </w:r>
      <w:r w:rsidRPr="009D13CB">
        <w:rPr>
          <w:b/>
          <w:i/>
          <w:szCs w:val="24"/>
          <w:lang w:val="hy-AM"/>
        </w:rPr>
        <w:t xml:space="preserve">-րդ կետում: </w:t>
      </w:r>
    </w:p>
    <w:p w14:paraId="695E9CA4" w14:textId="77777777" w:rsidR="005D101C" w:rsidRPr="000F123F" w:rsidRDefault="005D101C" w:rsidP="005D101C">
      <w:pPr>
        <w:rPr>
          <w:szCs w:val="24"/>
          <w:lang w:val="hy-AM"/>
        </w:rPr>
      </w:pPr>
    </w:p>
    <w:p w14:paraId="6DAC324A" w14:textId="77777777" w:rsidR="005D101C" w:rsidRPr="000F123F" w:rsidRDefault="005D101C" w:rsidP="005D101C">
      <w:pPr>
        <w:rPr>
          <w:szCs w:val="24"/>
          <w:lang w:val="hy-AM"/>
        </w:rPr>
      </w:pPr>
    </w:p>
    <w:p w14:paraId="0212449C" w14:textId="77777777" w:rsidR="005D101C" w:rsidRPr="000F123F" w:rsidRDefault="005D101C" w:rsidP="005D101C">
      <w:pPr>
        <w:rPr>
          <w:szCs w:val="24"/>
          <w:lang w:val="hy-AM"/>
        </w:rPr>
      </w:pPr>
    </w:p>
    <w:p w14:paraId="11DED4BD" w14:textId="77777777" w:rsidR="005D101C" w:rsidRDefault="005D101C" w:rsidP="005D101C">
      <w:pPr>
        <w:rPr>
          <w:szCs w:val="24"/>
          <w:lang w:val="hy-AM"/>
        </w:rPr>
      </w:pPr>
    </w:p>
    <w:p w14:paraId="2C9415C1" w14:textId="77777777" w:rsidR="005D14EC" w:rsidRDefault="005D14EC" w:rsidP="005D101C">
      <w:pPr>
        <w:rPr>
          <w:szCs w:val="24"/>
          <w:lang w:val="hy-AM"/>
        </w:rPr>
      </w:pPr>
    </w:p>
    <w:p w14:paraId="48135558" w14:textId="77777777" w:rsidR="005D14EC" w:rsidRDefault="005D14EC" w:rsidP="005D101C">
      <w:pPr>
        <w:rPr>
          <w:szCs w:val="24"/>
          <w:lang w:val="hy-AM"/>
        </w:rPr>
      </w:pPr>
    </w:p>
    <w:p w14:paraId="28BDEEB5" w14:textId="77777777" w:rsidR="005D14EC" w:rsidRDefault="005D14EC" w:rsidP="005D101C">
      <w:pPr>
        <w:rPr>
          <w:szCs w:val="24"/>
          <w:lang w:val="hy-AM"/>
        </w:rPr>
      </w:pPr>
    </w:p>
    <w:p w14:paraId="197B5226" w14:textId="77777777" w:rsidR="005D14EC" w:rsidRDefault="005D14EC" w:rsidP="005D101C">
      <w:pPr>
        <w:rPr>
          <w:szCs w:val="24"/>
          <w:lang w:val="hy-AM"/>
        </w:rPr>
      </w:pPr>
    </w:p>
    <w:p w14:paraId="2B0B3EB8" w14:textId="77777777" w:rsidR="005D14EC" w:rsidRDefault="005D14EC" w:rsidP="005D101C">
      <w:pPr>
        <w:rPr>
          <w:szCs w:val="24"/>
          <w:lang w:val="hy-AM"/>
        </w:rPr>
      </w:pPr>
    </w:p>
    <w:p w14:paraId="6971D42F" w14:textId="77777777" w:rsidR="005D14EC" w:rsidRDefault="005D14EC" w:rsidP="005D101C">
      <w:pPr>
        <w:rPr>
          <w:szCs w:val="24"/>
          <w:lang w:val="hy-AM"/>
        </w:rPr>
      </w:pPr>
    </w:p>
    <w:p w14:paraId="4EE609E2" w14:textId="77777777" w:rsidR="005D14EC" w:rsidRDefault="005D14EC" w:rsidP="005D101C">
      <w:pPr>
        <w:rPr>
          <w:szCs w:val="24"/>
          <w:lang w:val="hy-AM"/>
        </w:rPr>
      </w:pPr>
    </w:p>
    <w:p w14:paraId="6A15F1C6" w14:textId="405A74C4" w:rsidR="008F3F4B" w:rsidRDefault="008F3F4B" w:rsidP="005D101C">
      <w:pPr>
        <w:rPr>
          <w:szCs w:val="24"/>
          <w:lang w:val="hy-AM"/>
        </w:rPr>
      </w:pPr>
      <w:r>
        <w:rPr>
          <w:szCs w:val="24"/>
          <w:lang w:val="hy-AM"/>
        </w:rPr>
        <w:br w:type="page"/>
      </w:r>
    </w:p>
    <w:p w14:paraId="693E47FC" w14:textId="77777777" w:rsidR="005D14EC" w:rsidRPr="000F123F" w:rsidRDefault="005D14EC" w:rsidP="005D101C">
      <w:pPr>
        <w:rPr>
          <w:szCs w:val="24"/>
          <w:lang w:val="hy-AM"/>
        </w:rPr>
      </w:pPr>
    </w:p>
    <w:p w14:paraId="66E92E7D" w14:textId="77777777" w:rsidR="005D101C" w:rsidRDefault="005D101C" w:rsidP="005D101C">
      <w:pPr>
        <w:rPr>
          <w:szCs w:val="24"/>
          <w:lang w:val="hy-AM"/>
        </w:rPr>
      </w:pPr>
    </w:p>
    <w:p w14:paraId="1AA97164" w14:textId="77777777" w:rsidR="008E7C43" w:rsidRDefault="00F940A3" w:rsidP="008E7C43">
      <w:pPr>
        <w:numPr>
          <w:ilvl w:val="0"/>
          <w:numId w:val="1"/>
        </w:numPr>
        <w:spacing w:before="0" w:line="240" w:lineRule="auto"/>
        <w:ind w:left="0" w:firstLine="0"/>
        <w:jc w:val="center"/>
        <w:outlineLvl w:val="0"/>
        <w:rPr>
          <w:b/>
          <w:color w:val="0070C0"/>
          <w:sz w:val="28"/>
          <w:szCs w:val="28"/>
          <w:lang w:val="hy-AM"/>
        </w:rPr>
      </w:pPr>
      <w:r w:rsidRPr="00F940A3">
        <w:rPr>
          <w:b/>
          <w:color w:val="0070C0"/>
          <w:sz w:val="28"/>
          <w:szCs w:val="28"/>
          <w:lang w:val="hy-AM"/>
        </w:rPr>
        <w:tab/>
      </w:r>
      <w:bookmarkStart w:id="29" w:name="_Toc164676875"/>
      <w:r w:rsidRPr="001830F5">
        <w:rPr>
          <w:b/>
          <w:color w:val="0070C0"/>
          <w:sz w:val="28"/>
          <w:szCs w:val="28"/>
          <w:lang w:val="hy-AM"/>
        </w:rPr>
        <w:t>ԱՅԼ ՓԱՍՏԵՐԻ</w:t>
      </w:r>
      <w:r w:rsidRPr="00F940A3">
        <w:rPr>
          <w:b/>
          <w:color w:val="0070C0"/>
          <w:sz w:val="28"/>
          <w:szCs w:val="28"/>
          <w:lang w:val="hy-AM"/>
        </w:rPr>
        <w:t xml:space="preserve"> ՎԵՐԱԲԵՐՅԱԼ ԳՐԱՌՈՒՄՆԵՐ</w:t>
      </w:r>
      <w:bookmarkEnd w:id="20"/>
      <w:bookmarkEnd w:id="29"/>
    </w:p>
    <w:p w14:paraId="716FC618" w14:textId="77777777" w:rsidR="008E7C43" w:rsidRPr="00EB3A3A" w:rsidRDefault="008E7C43"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bookmarkStart w:id="30" w:name="_Toc164676876"/>
      <w:r w:rsidRPr="00EB3A3A">
        <w:rPr>
          <w:rFonts w:eastAsiaTheme="majorEastAsia" w:cstheme="majorBidi"/>
          <w:b/>
          <w:i/>
          <w:color w:val="000000" w:themeColor="text1"/>
          <w:sz w:val="28"/>
          <w:szCs w:val="28"/>
          <w:lang w:val="hy-AM"/>
        </w:rPr>
        <w:t>1023-11001՝ «Հարկային և մաքսային ծառայություններ»  միջոցառման շրջանակներում 411100 «Աշխատողների աշխատավարձեր և հավելավճարներ», 411200 «Պարգևատրումներ, դրամական խրախուսումներ և հատուկ վճարներ» և 411300 «Քաղաքացիական, դատական և պետական այլ ծառայողների պարգևատրում»   տնտեսագիտական դասակարգման հոդվածներ</w:t>
      </w:r>
      <w:bookmarkEnd w:id="30"/>
    </w:p>
    <w:p w14:paraId="680F6C78" w14:textId="77777777" w:rsidR="008E7C43" w:rsidRDefault="008E7C43" w:rsidP="008E7C43">
      <w:pPr>
        <w:spacing w:before="0" w:after="160"/>
        <w:ind w:firstLine="440"/>
        <w:rPr>
          <w:rFonts w:cs="Sylfaen"/>
          <w:color w:val="000000"/>
          <w:szCs w:val="24"/>
          <w:lang w:val="hy-AM"/>
        </w:rPr>
      </w:pPr>
    </w:p>
    <w:p w14:paraId="32C12B36" w14:textId="77777777" w:rsidR="008E7C43" w:rsidRPr="005D14EC" w:rsidRDefault="008E7C43" w:rsidP="005D14EC">
      <w:pPr>
        <w:spacing w:before="0" w:after="0"/>
        <w:ind w:firstLine="357"/>
        <w:rPr>
          <w:rFonts w:cs="Sylfaen"/>
          <w:color w:val="000000"/>
          <w:szCs w:val="24"/>
          <w:lang w:val="hy-AM"/>
        </w:rPr>
      </w:pPr>
      <w:r w:rsidRPr="005D14EC">
        <w:rPr>
          <w:rFonts w:cs="Sylfaen"/>
          <w:color w:val="000000"/>
          <w:szCs w:val="24"/>
          <w:lang w:val="hy-AM"/>
        </w:rPr>
        <w:t xml:space="preserve">ՀՀ  2023 թվականի պետական բյուջեի տարեկան կատարման հաշվետվության համաձայն՝ 1023 Ծրագրի  11001 «Հարկային և մաքսային ծառայություններ» միջոցառման շրջանակներում, 411100 «Աշխատողների աշխատավարձեր և հավելավճարներ»,  411200 «Պարգևատրումներ, դրամական խրախուսումներ և հատուկ վճարներ» և 411300 «Քաղաքացիական, դատական և պետական այլ ծառայողների պարգևատրում»   տնտեսագիտական դասակարգման հոդվածներով    տարեկան ճշտված պլանով նախատեսվել և   դրամարկղային ծախսը կազմել է 17,898,289.30 հազ.դրամ,   փաստացի ծախսը` 17,896,097.2 հազ. դրամ: </w:t>
      </w:r>
    </w:p>
    <w:p w14:paraId="37A37482" w14:textId="77777777" w:rsidR="008E7C43" w:rsidRPr="00AA4567" w:rsidRDefault="008E7C43" w:rsidP="005D14EC">
      <w:pPr>
        <w:spacing w:before="0" w:after="0"/>
        <w:ind w:firstLine="357"/>
        <w:rPr>
          <w:rFonts w:cs="Sylfaen"/>
          <w:color w:val="000000"/>
          <w:szCs w:val="24"/>
          <w:lang w:val="hy-AM"/>
        </w:rPr>
      </w:pPr>
      <w:r w:rsidRPr="00AA4567">
        <w:rPr>
          <w:rFonts w:cs="Sylfaen"/>
          <w:color w:val="000000"/>
          <w:szCs w:val="24"/>
          <w:lang w:val="hy-AM"/>
        </w:rPr>
        <w:t xml:space="preserve">ՊԵԿ աշխատողների աշխատանքի վարձատրության վերաբերյալ տեղեկատվությունը, ըստ առանձին աշխատողների, «ՊԵԿ </w:t>
      </w:r>
      <w:r w:rsidRPr="004178CD">
        <w:rPr>
          <w:rFonts w:cs="Sylfaen"/>
          <w:color w:val="000000"/>
          <w:szCs w:val="24"/>
          <w:lang w:val="hy-AM"/>
        </w:rPr>
        <w:t xml:space="preserve"> 202</w:t>
      </w:r>
      <w:r w:rsidRPr="00CF2F49">
        <w:rPr>
          <w:rFonts w:cs="Sylfaen"/>
          <w:color w:val="000000"/>
          <w:szCs w:val="24"/>
          <w:lang w:val="hy-AM"/>
        </w:rPr>
        <w:t>2 և 2023</w:t>
      </w:r>
      <w:r w:rsidRPr="004178CD">
        <w:rPr>
          <w:rFonts w:cs="Sylfaen"/>
          <w:color w:val="000000"/>
          <w:szCs w:val="24"/>
          <w:lang w:val="hy-AM"/>
        </w:rPr>
        <w:t xml:space="preserve"> </w:t>
      </w:r>
      <w:r w:rsidRPr="00AA4567">
        <w:rPr>
          <w:rFonts w:cs="Sylfaen"/>
          <w:color w:val="000000"/>
          <w:szCs w:val="24"/>
          <w:lang w:val="hy-AM"/>
        </w:rPr>
        <w:t>թվական</w:t>
      </w:r>
      <w:r w:rsidRPr="00CF2F49">
        <w:rPr>
          <w:rFonts w:cs="Sylfaen"/>
          <w:color w:val="000000"/>
          <w:szCs w:val="24"/>
          <w:lang w:val="hy-AM"/>
        </w:rPr>
        <w:t>ներ</w:t>
      </w:r>
      <w:r w:rsidRPr="00AA4567">
        <w:rPr>
          <w:rFonts w:cs="Sylfaen"/>
          <w:color w:val="000000"/>
          <w:szCs w:val="24"/>
          <w:lang w:val="hy-AM"/>
        </w:rPr>
        <w:t xml:space="preserve">ի պետական բյուջեի տարեկան կատարման» </w:t>
      </w:r>
      <w:r w:rsidRPr="00CF2F49">
        <w:rPr>
          <w:rFonts w:cs="Sylfaen"/>
          <w:color w:val="000000"/>
          <w:szCs w:val="24"/>
          <w:lang w:val="hy-AM"/>
        </w:rPr>
        <w:t xml:space="preserve"> </w:t>
      </w:r>
      <w:r w:rsidRPr="00AA4567">
        <w:rPr>
          <w:rFonts w:cs="Sylfaen"/>
          <w:color w:val="000000"/>
          <w:szCs w:val="24"/>
          <w:lang w:val="hy-AM"/>
        </w:rPr>
        <w:t xml:space="preserve">հաշվեքննությունների ընթացքում Հաշվեքննիչ պալատին չի տրամադրվել </w:t>
      </w:r>
      <w:r w:rsidRPr="00CF2F49">
        <w:rPr>
          <w:rFonts w:cs="Sylfaen"/>
          <w:color w:val="000000"/>
          <w:szCs w:val="24"/>
          <w:lang w:val="hy-AM"/>
        </w:rPr>
        <w:t xml:space="preserve"> </w:t>
      </w:r>
      <w:r w:rsidRPr="00AA4567">
        <w:rPr>
          <w:rFonts w:cs="Sylfaen"/>
          <w:color w:val="000000"/>
          <w:szCs w:val="24"/>
          <w:lang w:val="hy-AM"/>
        </w:rPr>
        <w:t xml:space="preserve"> պատճառաբանելով, որ </w:t>
      </w:r>
      <w:r>
        <w:rPr>
          <w:rFonts w:cs="Sylfaen"/>
          <w:color w:val="000000"/>
          <w:szCs w:val="24"/>
          <w:lang w:val="hy-AM"/>
        </w:rPr>
        <w:t xml:space="preserve">այն </w:t>
      </w:r>
      <w:r w:rsidRPr="00AA4567">
        <w:rPr>
          <w:rFonts w:cs="Sylfaen"/>
          <w:color w:val="000000"/>
          <w:szCs w:val="24"/>
          <w:lang w:val="hy-AM"/>
        </w:rPr>
        <w:t>հանդիսանում է անձնական տվյալներ պարունակող տեղեկատվություն և հաշվեքննողին կարող է տրամա</w:t>
      </w:r>
      <w:r w:rsidRPr="00AA4567">
        <w:rPr>
          <w:rFonts w:cs="Sylfaen"/>
          <w:color w:val="000000"/>
          <w:szCs w:val="24"/>
          <w:lang w:val="hy-AM"/>
        </w:rPr>
        <w:softHyphen/>
        <w:t>դրվել միայն անձնական տվյալների սուբյեկտ հանդիսացող անձանց համաձայնության առկա</w:t>
      </w:r>
      <w:r w:rsidRPr="00AA4567">
        <w:rPr>
          <w:rFonts w:cs="Sylfaen"/>
          <w:color w:val="000000"/>
          <w:szCs w:val="24"/>
          <w:lang w:val="hy-AM"/>
        </w:rPr>
        <w:softHyphen/>
        <w:t>յության պարա</w:t>
      </w:r>
      <w:r w:rsidRPr="00AA4567">
        <w:rPr>
          <w:rFonts w:cs="Sylfaen"/>
          <w:color w:val="000000"/>
          <w:szCs w:val="24"/>
          <w:lang w:val="hy-AM"/>
        </w:rPr>
        <w:softHyphen/>
        <w:t xml:space="preserve">գայում կամ առանց անհատականացնող տվյալների՝ ոչ անվանական ձևաչափով։ </w:t>
      </w:r>
    </w:p>
    <w:p w14:paraId="14B97A6B" w14:textId="77777777" w:rsidR="008E7C43" w:rsidRDefault="008E7C43" w:rsidP="005D14EC">
      <w:pPr>
        <w:spacing w:before="0" w:after="0"/>
        <w:ind w:firstLine="357"/>
        <w:rPr>
          <w:rFonts w:cs="Sylfaen"/>
          <w:color w:val="000000"/>
          <w:szCs w:val="24"/>
          <w:lang w:val="hy-AM"/>
        </w:rPr>
      </w:pPr>
      <w:r w:rsidRPr="00357255">
        <w:rPr>
          <w:rFonts w:cs="Sylfaen"/>
          <w:color w:val="000000"/>
          <w:szCs w:val="24"/>
          <w:lang w:val="hy-AM"/>
        </w:rPr>
        <w:t>Անձնական տվյալներ պարունակող տեղեկատվության անհասանելիությամբ</w:t>
      </w:r>
      <w:r w:rsidRPr="00850EE2">
        <w:rPr>
          <w:rFonts w:cs="Sylfaen"/>
          <w:color w:val="000000"/>
          <w:szCs w:val="24"/>
          <w:lang w:val="hy-AM"/>
        </w:rPr>
        <w:t xml:space="preserve"> </w:t>
      </w:r>
      <w:r w:rsidRPr="00357255">
        <w:rPr>
          <w:rFonts w:cs="Sylfaen"/>
          <w:color w:val="000000"/>
          <w:szCs w:val="24"/>
          <w:lang w:val="hy-AM"/>
        </w:rPr>
        <w:t>պայմանավորված</w:t>
      </w:r>
      <w:r w:rsidRPr="001D0ED1">
        <w:rPr>
          <w:rFonts w:cs="Sylfaen"/>
          <w:color w:val="000000"/>
          <w:szCs w:val="24"/>
          <w:lang w:val="hy-AM"/>
        </w:rPr>
        <w:t xml:space="preserve"> ՊԵԿ աշխատողների աշխատանքի վարձատրության նպատակով  </w:t>
      </w:r>
      <w:r>
        <w:rPr>
          <w:rFonts w:cs="Sylfaen"/>
          <w:color w:val="000000"/>
          <w:szCs w:val="24"/>
          <w:lang w:val="hy-AM"/>
        </w:rPr>
        <w:lastRenderedPageBreak/>
        <w:t>վ</w:t>
      </w:r>
      <w:r w:rsidRPr="001D0ED1">
        <w:rPr>
          <w:rFonts w:cs="Sylfaen"/>
          <w:color w:val="000000"/>
          <w:szCs w:val="24"/>
          <w:lang w:val="hy-AM"/>
        </w:rPr>
        <w:t>երոնշյալ ծախսային հոդվածներով հատկացված միջոցների օգտագործման օրինականությունը հաշվեքննության չի ենթարկվել</w:t>
      </w:r>
      <w:r>
        <w:rPr>
          <w:rFonts w:cs="Sylfaen"/>
          <w:color w:val="000000"/>
          <w:szCs w:val="24"/>
          <w:lang w:val="hy-AM"/>
        </w:rPr>
        <w:t xml:space="preserve">։ </w:t>
      </w:r>
    </w:p>
    <w:p w14:paraId="26A08FA1" w14:textId="257544AA" w:rsidR="008F3F4B" w:rsidRDefault="008E7C43" w:rsidP="008F3F4B">
      <w:pPr>
        <w:spacing w:after="0"/>
        <w:ind w:firstLine="357"/>
        <w:rPr>
          <w:rFonts w:cs="Sylfaen"/>
          <w:color w:val="000000"/>
          <w:szCs w:val="24"/>
          <w:highlight w:val="yellow"/>
          <w:lang w:val="hy-AM"/>
        </w:rPr>
      </w:pPr>
      <w:r w:rsidRPr="00B53A72">
        <w:rPr>
          <w:rFonts w:cs="Sylfaen"/>
          <w:color w:val="000000"/>
          <w:szCs w:val="24"/>
          <w:highlight w:val="yellow"/>
          <w:lang w:val="hy-AM"/>
        </w:rPr>
        <w:t xml:space="preserve"> </w:t>
      </w:r>
    </w:p>
    <w:p w14:paraId="74C28494" w14:textId="77777777" w:rsidR="00E22E66" w:rsidRDefault="00A71B8F" w:rsidP="00E22E66">
      <w:pPr>
        <w:spacing w:before="0" w:after="0" w:line="240" w:lineRule="auto"/>
        <w:ind w:firstLine="567"/>
        <w:rPr>
          <w:rFonts w:eastAsiaTheme="minorHAnsi" w:cstheme="minorBidi"/>
          <w:szCs w:val="24"/>
          <w:lang w:val="hy-AM"/>
        </w:rPr>
      </w:pPr>
      <w:r w:rsidRPr="000F123F">
        <w:rPr>
          <w:rFonts w:eastAsia="Calibri"/>
          <w:b/>
          <w:i/>
          <w:szCs w:val="24"/>
          <w:lang w:val="hy-AM"/>
        </w:rPr>
        <w:t>Հաշվեքննության օբյեկտի արձագանքը</w:t>
      </w:r>
      <w:r w:rsidR="00E22E66" w:rsidRPr="00E22E66">
        <w:rPr>
          <w:rFonts w:eastAsiaTheme="minorHAnsi" w:cstheme="minorBidi"/>
          <w:szCs w:val="24"/>
          <w:lang w:val="hy-AM"/>
        </w:rPr>
        <w:t xml:space="preserve"> </w:t>
      </w:r>
    </w:p>
    <w:p w14:paraId="6565215E" w14:textId="77777777" w:rsidR="00E22E66" w:rsidRPr="00A71B8F" w:rsidRDefault="00E22E66" w:rsidP="00E22E66">
      <w:pPr>
        <w:spacing w:before="0" w:after="0" w:line="240" w:lineRule="auto"/>
        <w:ind w:firstLine="567"/>
        <w:rPr>
          <w:rFonts w:eastAsiaTheme="minorHAnsi" w:cs="Sylfaen"/>
          <w:color w:val="FF0000"/>
          <w:szCs w:val="24"/>
          <w:lang w:val="hy-AM"/>
        </w:rPr>
      </w:pPr>
      <w:r w:rsidRPr="00A71B8F">
        <w:rPr>
          <w:rFonts w:eastAsiaTheme="minorHAnsi" w:cstheme="minorBidi"/>
          <w:szCs w:val="24"/>
          <w:lang w:val="hy-AM"/>
        </w:rPr>
        <w:t>Կոմիտեն չի ընդունում հաշվեքննողի կողմից ներկայացված այն մեկնաբանությունը, որ անձնական տվյալներ պարունակող տեղեկատվության անհասանելիությամբ պայմանավորված հնարավոր չի եղել իրականացնել աշխատողների աշխատանքի վարձա</w:t>
      </w:r>
      <w:r w:rsidRPr="00A71B8F">
        <w:rPr>
          <w:rFonts w:eastAsiaTheme="minorHAnsi" w:cstheme="minorBidi"/>
          <w:szCs w:val="24"/>
          <w:lang w:val="hy-AM"/>
        </w:rPr>
        <w:softHyphen/>
        <w:t>տրու</w:t>
      </w:r>
      <w:r w:rsidRPr="00A71B8F">
        <w:rPr>
          <w:rFonts w:eastAsiaTheme="minorHAnsi" w:cstheme="minorBidi"/>
          <w:szCs w:val="24"/>
          <w:lang w:val="hy-AM"/>
        </w:rPr>
        <w:softHyphen/>
        <w:t>թյան նպատակով օգտագործված միջոցների օրինականությունը և հայտնում է, որ հայցված տեղեկա</w:t>
      </w:r>
      <w:r w:rsidRPr="00A71B8F">
        <w:rPr>
          <w:rFonts w:eastAsiaTheme="minorHAnsi" w:cstheme="minorBidi"/>
          <w:szCs w:val="24"/>
          <w:lang w:val="hy-AM"/>
        </w:rPr>
        <w:softHyphen/>
        <w:t>տվությունը հաշվեքննողին տրամադրվել է ամբողջությամբ` առանց անհատականացնող տվյալների, որը կար</w:t>
      </w:r>
      <w:r w:rsidRPr="00A71B8F">
        <w:rPr>
          <w:rFonts w:eastAsiaTheme="minorHAnsi" w:cstheme="minorBidi"/>
          <w:szCs w:val="24"/>
          <w:lang w:val="hy-AM"/>
        </w:rPr>
        <w:softHyphen/>
        <w:t>ծում ենք չի կարող խոչընդոտ հանդիսանալ հաշվեքննողի համար աշխատողների աշխատա</w:t>
      </w:r>
      <w:r w:rsidRPr="00A71B8F">
        <w:rPr>
          <w:rFonts w:eastAsiaTheme="minorHAnsi" w:cstheme="minorBidi"/>
          <w:szCs w:val="24"/>
          <w:lang w:val="hy-AM"/>
        </w:rPr>
        <w:softHyphen/>
        <w:t>վարձերի, հավելումների, պարգևատրումների հաշվարկման և վճարման օրինականու</w:t>
      </w:r>
      <w:r w:rsidRPr="00A71B8F">
        <w:rPr>
          <w:rFonts w:eastAsiaTheme="minorHAnsi" w:cstheme="minorBidi"/>
          <w:szCs w:val="24"/>
          <w:lang w:val="hy-AM"/>
        </w:rPr>
        <w:softHyphen/>
        <w:t>թյան գնա</w:t>
      </w:r>
      <w:r w:rsidRPr="00A71B8F">
        <w:rPr>
          <w:rFonts w:eastAsiaTheme="minorHAnsi" w:cstheme="minorBidi"/>
          <w:szCs w:val="24"/>
          <w:lang w:val="hy-AM"/>
        </w:rPr>
        <w:softHyphen/>
        <w:t>հատման գործընթացում: Պահանջվող տեղեկատվությունն անհատականացնող տվյալնե</w:t>
      </w:r>
      <w:r w:rsidRPr="00A71B8F">
        <w:rPr>
          <w:rFonts w:eastAsiaTheme="minorHAnsi" w:cstheme="minorBidi"/>
          <w:szCs w:val="24"/>
          <w:lang w:val="hy-AM"/>
        </w:rPr>
        <w:softHyphen/>
        <w:t>րով չտրամադրելը հիմնավորվում է հետևյալով.</w:t>
      </w:r>
    </w:p>
    <w:p w14:paraId="73BDF9DF" w14:textId="77777777" w:rsidR="00E22E66" w:rsidRPr="00A71B8F" w:rsidRDefault="00E22E66" w:rsidP="00E22E66">
      <w:pPr>
        <w:spacing w:before="0" w:after="0" w:line="240" w:lineRule="auto"/>
        <w:ind w:firstLine="567"/>
        <w:rPr>
          <w:rFonts w:eastAsiaTheme="minorHAnsi" w:cstheme="minorBidi"/>
          <w:szCs w:val="24"/>
          <w:lang w:val="hy-AM"/>
        </w:rPr>
      </w:pPr>
      <w:r w:rsidRPr="00A71B8F">
        <w:rPr>
          <w:rFonts w:eastAsiaTheme="minorHAnsi" w:cstheme="minorBidi"/>
          <w:szCs w:val="24"/>
          <w:lang w:val="hy-AM"/>
        </w:rPr>
        <w:t>«Անձնական տվյալների պաշտպանության մասին» ՀՀ օրենքի 3-րդ հոդվածի 1-ին մասի 1-ին կետի համաձայն` անձնական տվյալ է համարվում ֆիզիկական անձին վերաբերող ցանկա</w:t>
      </w:r>
      <w:r w:rsidRPr="00A71B8F">
        <w:rPr>
          <w:rFonts w:eastAsiaTheme="minorHAnsi" w:cstheme="minorBidi"/>
          <w:szCs w:val="24"/>
          <w:lang w:val="hy-AM"/>
        </w:rPr>
        <w:softHyphen/>
        <w:t>ցած տեղեկություն, որը թույլ է տալիս կամ կարող է թույլ տալ ուղղակի կամ անուղղակի կերպով նույնականացնել անձի ինքնությունը:</w:t>
      </w:r>
    </w:p>
    <w:p w14:paraId="5A27E156" w14:textId="77777777" w:rsidR="00E22E66" w:rsidRPr="00A71B8F" w:rsidRDefault="00E22E66" w:rsidP="00E22E66">
      <w:pPr>
        <w:spacing w:before="0" w:after="0" w:line="240" w:lineRule="auto"/>
        <w:ind w:firstLine="567"/>
        <w:rPr>
          <w:rFonts w:eastAsiaTheme="minorHAnsi" w:cs="Sylfaen"/>
          <w:szCs w:val="24"/>
          <w:lang w:val="hy-AM"/>
        </w:rPr>
      </w:pPr>
      <w:r w:rsidRPr="00A71B8F">
        <w:rPr>
          <w:rFonts w:eastAsiaTheme="minorHAnsi" w:cstheme="minorBidi"/>
          <w:szCs w:val="24"/>
          <w:lang w:val="hy-AM"/>
        </w:rPr>
        <w:t>Նույն օրենքի 4-րդ հոդվածի 2-րդ մասի համաձայն` անձնական տվյալները մշակվում են օրինական և որոշակի նպատակներով և առանց տվյալների սուբյեկտի համաձայնության չեն կարող օգտագործվել այլ նպատակներով, իսկ 19-րդ հոդվածի 7-րդ մասի համաձայն անձնա-կան տվյալներ մշակողները կամ նույն օրենքով նախատեսված այլ անձինք պարտավոր են պահպանել անձնական տվյալների գաղտնիությունը, ինչպես անձնական տվյալները մշակելու հետ առնչվող ծառայողական կամ աշխատանքային պարտականությունները կատարելու ընթացքում, այնպես էլ դրա ավարտից հետո:</w:t>
      </w:r>
    </w:p>
    <w:p w14:paraId="46FC8DDD" w14:textId="77777777" w:rsidR="00E22E66" w:rsidRPr="00A71B8F" w:rsidRDefault="00E22E66" w:rsidP="00E22E66">
      <w:pPr>
        <w:spacing w:before="0" w:after="0" w:line="240" w:lineRule="auto"/>
        <w:ind w:firstLine="567"/>
        <w:rPr>
          <w:rFonts w:eastAsiaTheme="minorHAnsi" w:cstheme="minorBidi"/>
          <w:szCs w:val="24"/>
          <w:lang w:val="hy-AM"/>
        </w:rPr>
      </w:pPr>
      <w:r w:rsidRPr="00A71B8F">
        <w:rPr>
          <w:rFonts w:eastAsiaTheme="minorHAnsi" w:cstheme="minorBidi"/>
          <w:szCs w:val="24"/>
          <w:lang w:val="hy-AM"/>
        </w:rPr>
        <w:t>Նույն օրենքի 27-րդ հոդվածի 1-ին մասի համաձայն՝ առանց անձնական տվյալների սուբ</w:t>
      </w:r>
      <w:r w:rsidRPr="00A71B8F">
        <w:rPr>
          <w:rFonts w:eastAsiaTheme="minorHAnsi" w:cstheme="minorBidi"/>
          <w:szCs w:val="24"/>
          <w:lang w:val="hy-AM"/>
        </w:rPr>
        <w:softHyphen/>
        <w:t>յեկտի համաձայնության մշակողը կարող է անձնական տվյալները փոխանցել երրորդ անձանց կամ տվյալներից օգտվելու հնարավորություն տրամադրել, եթե դա նախատեսված է օրենքով և ունի բավարար պաշտպանության մակարդակ, իսկ «Հաշվեքննիչ պալատի մասին» օրենքով նման կանոնակարգում առկա չէ։</w:t>
      </w:r>
    </w:p>
    <w:p w14:paraId="61DB2728" w14:textId="77777777" w:rsidR="00A71B8F" w:rsidRPr="000F123F" w:rsidRDefault="00A71B8F" w:rsidP="00A71B8F">
      <w:pPr>
        <w:spacing w:after="0"/>
        <w:rPr>
          <w:rFonts w:eastAsia="Calibri"/>
          <w:b/>
          <w:i/>
          <w:szCs w:val="24"/>
          <w:lang w:val="hy-AM"/>
        </w:rPr>
      </w:pPr>
    </w:p>
    <w:p w14:paraId="2F7A1B80" w14:textId="60FA5D17" w:rsidR="00A71B8F" w:rsidRDefault="00A71B8F" w:rsidP="00A71B8F">
      <w:pPr>
        <w:spacing w:before="0" w:after="0"/>
        <w:rPr>
          <w:rFonts w:eastAsia="Calibri"/>
          <w:b/>
          <w:i/>
          <w:szCs w:val="24"/>
          <w:lang w:val="hy-AM"/>
        </w:rPr>
      </w:pPr>
      <w:r w:rsidRPr="000F123F">
        <w:rPr>
          <w:rFonts w:eastAsia="Calibri"/>
          <w:b/>
          <w:i/>
          <w:szCs w:val="24"/>
          <w:lang w:val="hy-AM"/>
        </w:rPr>
        <w:t>Հաշվեքննողների մեկնաբանությունը</w:t>
      </w:r>
    </w:p>
    <w:p w14:paraId="7FD21484" w14:textId="3546C057" w:rsidR="00E57F66" w:rsidRDefault="00E57F66" w:rsidP="00A71B8F">
      <w:pPr>
        <w:spacing w:before="0" w:after="0"/>
        <w:rPr>
          <w:rFonts w:eastAsia="Calibri"/>
          <w:b/>
          <w:i/>
          <w:szCs w:val="24"/>
          <w:lang w:val="hy-AM"/>
        </w:rPr>
      </w:pPr>
    </w:p>
    <w:p w14:paraId="7450429B" w14:textId="1877269F" w:rsidR="00060F19" w:rsidRDefault="00E57F66" w:rsidP="00E57F66">
      <w:pPr>
        <w:spacing w:before="0" w:after="0"/>
        <w:rPr>
          <w:color w:val="000000"/>
          <w:szCs w:val="24"/>
          <w:shd w:val="clear" w:color="auto" w:fill="FFFFFF"/>
          <w:lang w:val="hy-AM"/>
        </w:rPr>
      </w:pPr>
      <w:r w:rsidRPr="00E57F66">
        <w:rPr>
          <w:rFonts w:eastAsiaTheme="minorHAnsi" w:cstheme="minorBidi"/>
          <w:szCs w:val="24"/>
          <w:lang w:val="hy-AM"/>
        </w:rPr>
        <w:lastRenderedPageBreak/>
        <w:t>Աշխատանքի վարձա</w:t>
      </w:r>
      <w:r w:rsidRPr="00E57F66">
        <w:rPr>
          <w:rFonts w:eastAsiaTheme="minorHAnsi" w:cstheme="minorBidi"/>
          <w:szCs w:val="24"/>
          <w:lang w:val="hy-AM"/>
        </w:rPr>
        <w:softHyphen/>
        <w:t>տրու</w:t>
      </w:r>
      <w:r w:rsidRPr="00E57F66">
        <w:rPr>
          <w:rFonts w:eastAsiaTheme="minorHAnsi" w:cstheme="minorBidi"/>
          <w:szCs w:val="24"/>
          <w:lang w:val="hy-AM"/>
        </w:rPr>
        <w:softHyphen/>
        <w:t xml:space="preserve">թյան նպատակով օգտագործված միջոցների օրինականությունը գնահատելու համար հաշվեքննողները իրականացնում են  </w:t>
      </w:r>
      <w:r w:rsidR="001D240A" w:rsidRPr="001D240A">
        <w:rPr>
          <w:rFonts w:eastAsiaTheme="minorHAnsi" w:cstheme="minorBidi"/>
          <w:szCs w:val="24"/>
          <w:lang w:val="hy-AM"/>
        </w:rPr>
        <w:t xml:space="preserve">հաշվեքննության տարբեր ընթացակարգեր, ներառյալ </w:t>
      </w:r>
      <w:r w:rsidRPr="00E57F66">
        <w:rPr>
          <w:rFonts w:eastAsiaTheme="minorHAnsi" w:cstheme="minorBidi"/>
          <w:szCs w:val="24"/>
          <w:lang w:val="hy-AM"/>
        </w:rPr>
        <w:t>«</w:t>
      </w:r>
      <w:r w:rsidRPr="00E57F66">
        <w:rPr>
          <w:color w:val="000000"/>
          <w:szCs w:val="24"/>
          <w:shd w:val="clear" w:color="auto" w:fill="FFFFFF"/>
          <w:lang w:val="hy-AM"/>
        </w:rPr>
        <w:t>վերահաշվարկ</w:t>
      </w:r>
      <w:r w:rsidR="001D240A" w:rsidRPr="001D240A">
        <w:rPr>
          <w:color w:val="000000"/>
          <w:szCs w:val="24"/>
          <w:shd w:val="clear" w:color="auto" w:fill="FFFFFF"/>
          <w:lang w:val="hy-AM"/>
        </w:rPr>
        <w:t>ը</w:t>
      </w:r>
      <w:r w:rsidR="001D240A">
        <w:rPr>
          <w:color w:val="000000"/>
          <w:szCs w:val="24"/>
          <w:shd w:val="clear" w:color="auto" w:fill="FFFFFF"/>
          <w:lang w:val="hy-AM"/>
        </w:rPr>
        <w:t>»</w:t>
      </w:r>
      <w:r w:rsidRPr="00E57F66">
        <w:rPr>
          <w:color w:val="000000"/>
          <w:szCs w:val="24"/>
          <w:shd w:val="clear" w:color="auto" w:fill="FFFFFF"/>
          <w:lang w:val="hy-AM"/>
        </w:rPr>
        <w:t>, որը նախատեսում է ելակետային տվյալների հիման վրա հաշվարկի ճշտության պարզում</w:t>
      </w:r>
      <w:r w:rsidR="00800F96">
        <w:rPr>
          <w:color w:val="000000"/>
          <w:szCs w:val="24"/>
          <w:shd w:val="clear" w:color="auto" w:fill="FFFFFF"/>
          <w:lang w:val="hy-AM"/>
        </w:rPr>
        <w:t xml:space="preserve"> </w:t>
      </w:r>
      <w:r w:rsidR="00800F96" w:rsidRPr="00800F96">
        <w:rPr>
          <w:color w:val="000000"/>
          <w:szCs w:val="24"/>
          <w:shd w:val="clear" w:color="auto" w:fill="FFFFFF"/>
          <w:lang w:val="hy-AM"/>
        </w:rPr>
        <w:t>(</w:t>
      </w:r>
      <w:r w:rsidR="00800F96" w:rsidRPr="00E57F66">
        <w:rPr>
          <w:rFonts w:eastAsiaTheme="minorHAnsi" w:cstheme="minorBidi"/>
          <w:szCs w:val="24"/>
          <w:lang w:val="hy-AM"/>
        </w:rPr>
        <w:t>«Հաշվեքննիչ պալատի մասին» օրենք</w:t>
      </w:r>
      <w:r w:rsidR="00800F96">
        <w:rPr>
          <w:rFonts w:eastAsiaTheme="minorHAnsi" w:cstheme="minorBidi"/>
          <w:szCs w:val="24"/>
          <w:lang w:val="hy-AM"/>
        </w:rPr>
        <w:t>ի  33-րդ հոդվածի 3-րդ մասի 6-րդ կետ</w:t>
      </w:r>
      <w:r w:rsidR="00800F96" w:rsidRPr="00C652BA">
        <w:rPr>
          <w:rFonts w:eastAsiaTheme="minorHAnsi" w:cstheme="minorBidi"/>
          <w:szCs w:val="24"/>
          <w:lang w:val="hy-AM"/>
        </w:rPr>
        <w:t>)</w:t>
      </w:r>
      <w:r w:rsidRPr="00E57F66">
        <w:rPr>
          <w:color w:val="000000"/>
          <w:szCs w:val="24"/>
          <w:shd w:val="clear" w:color="auto" w:fill="FFFFFF"/>
          <w:lang w:val="hy-AM"/>
        </w:rPr>
        <w:t xml:space="preserve">։ </w:t>
      </w:r>
      <w:r>
        <w:rPr>
          <w:color w:val="000000"/>
          <w:szCs w:val="24"/>
          <w:shd w:val="clear" w:color="auto" w:fill="FFFFFF"/>
          <w:lang w:val="hy-AM"/>
        </w:rPr>
        <w:t>Այն հնարավոր է իրականացնել</w:t>
      </w:r>
      <w:r w:rsidR="001D240A" w:rsidRPr="001D240A">
        <w:rPr>
          <w:color w:val="000000"/>
          <w:szCs w:val="24"/>
          <w:shd w:val="clear" w:color="auto" w:fill="FFFFFF"/>
          <w:lang w:val="hy-AM"/>
        </w:rPr>
        <w:t xml:space="preserve"> միայն</w:t>
      </w:r>
      <w:r>
        <w:rPr>
          <w:color w:val="000000"/>
          <w:szCs w:val="24"/>
          <w:shd w:val="clear" w:color="auto" w:fill="FFFFFF"/>
          <w:lang w:val="hy-AM"/>
        </w:rPr>
        <w:t xml:space="preserve"> </w:t>
      </w:r>
      <w:r w:rsidR="00C652BA">
        <w:rPr>
          <w:color w:val="000000"/>
          <w:szCs w:val="24"/>
          <w:shd w:val="clear" w:color="auto" w:fill="FFFFFF"/>
          <w:lang w:val="hy-AM"/>
        </w:rPr>
        <w:t>աշխատանքի վարձատրության</w:t>
      </w:r>
      <w:r>
        <w:rPr>
          <w:color w:val="000000"/>
          <w:szCs w:val="24"/>
          <w:shd w:val="clear" w:color="auto" w:fill="FFFFFF"/>
          <w:lang w:val="hy-AM"/>
        </w:rPr>
        <w:t xml:space="preserve"> հաշվարկման համար</w:t>
      </w:r>
      <w:r w:rsidR="00C652BA">
        <w:rPr>
          <w:color w:val="000000"/>
          <w:szCs w:val="24"/>
          <w:shd w:val="clear" w:color="auto" w:fill="FFFFFF"/>
          <w:lang w:val="hy-AM"/>
        </w:rPr>
        <w:t xml:space="preserve"> անձնական տվյալներ </w:t>
      </w:r>
      <w:r w:rsidR="001D240A">
        <w:rPr>
          <w:color w:val="000000"/>
          <w:szCs w:val="24"/>
          <w:shd w:val="clear" w:color="auto" w:fill="FFFFFF"/>
          <w:lang w:val="hy-AM"/>
        </w:rPr>
        <w:t>պարունակող</w:t>
      </w:r>
      <w:r>
        <w:rPr>
          <w:color w:val="000000"/>
          <w:szCs w:val="24"/>
          <w:shd w:val="clear" w:color="auto" w:fill="FFFFFF"/>
          <w:lang w:val="hy-AM"/>
        </w:rPr>
        <w:t xml:space="preserve"> փաստաթղթերի՝ աշխատանքի ընդունելու</w:t>
      </w:r>
      <w:r w:rsidR="00C652BA">
        <w:rPr>
          <w:color w:val="000000"/>
          <w:szCs w:val="24"/>
          <w:shd w:val="clear" w:color="auto" w:fill="FFFFFF"/>
          <w:lang w:val="hy-AM"/>
        </w:rPr>
        <w:t>,</w:t>
      </w:r>
      <w:r>
        <w:rPr>
          <w:color w:val="000000"/>
          <w:szCs w:val="24"/>
          <w:shd w:val="clear" w:color="auto" w:fill="FFFFFF"/>
          <w:lang w:val="hy-AM"/>
        </w:rPr>
        <w:t xml:space="preserve"> ազատելու, տեղափոխելու</w:t>
      </w:r>
      <w:r w:rsidR="00800F96">
        <w:rPr>
          <w:color w:val="000000"/>
          <w:szCs w:val="24"/>
          <w:shd w:val="clear" w:color="auto" w:fill="FFFFFF"/>
          <w:lang w:val="hy-AM"/>
        </w:rPr>
        <w:t>, տարբեր արձակուրդներ, պարգևատրումներ, դրամական օգնություններ  տրամադրելու հրամանների, ժամանակավոր անաշխատունակության թերթիկների</w:t>
      </w:r>
      <w:r w:rsidR="00C652BA">
        <w:rPr>
          <w:color w:val="000000"/>
          <w:szCs w:val="24"/>
          <w:shd w:val="clear" w:color="auto" w:fill="FFFFFF"/>
          <w:lang w:val="hy-AM"/>
        </w:rPr>
        <w:t xml:space="preserve">, </w:t>
      </w:r>
      <w:r w:rsidR="00800F96">
        <w:rPr>
          <w:color w:val="000000"/>
          <w:szCs w:val="24"/>
          <w:shd w:val="clear" w:color="auto" w:fill="FFFFFF"/>
          <w:lang w:val="hy-AM"/>
        </w:rPr>
        <w:t xml:space="preserve">աշխատաժամանակի թղթային կամ էլեկտրոնային տարբերակով հաշվառման տվյալների, </w:t>
      </w:r>
      <w:r w:rsidR="00C652BA">
        <w:rPr>
          <w:color w:val="000000"/>
          <w:szCs w:val="24"/>
          <w:shd w:val="clear" w:color="auto" w:fill="FFFFFF"/>
          <w:lang w:val="hy-AM"/>
        </w:rPr>
        <w:t xml:space="preserve">ինչպես նաև </w:t>
      </w:r>
      <w:r w:rsidR="00800F96">
        <w:rPr>
          <w:color w:val="000000"/>
          <w:szCs w:val="24"/>
          <w:shd w:val="clear" w:color="auto" w:fill="FFFFFF"/>
          <w:lang w:val="hy-AM"/>
        </w:rPr>
        <w:t>աշխատավարձի և դրան հավասարեցված վճարումների հաշվարկման մյուս փաստաթղթերի հիման վրա</w:t>
      </w:r>
      <w:r w:rsidR="00C652BA">
        <w:rPr>
          <w:color w:val="000000"/>
          <w:szCs w:val="24"/>
          <w:shd w:val="clear" w:color="auto" w:fill="FFFFFF"/>
          <w:lang w:val="hy-AM"/>
        </w:rPr>
        <w:t>։</w:t>
      </w:r>
    </w:p>
    <w:p w14:paraId="764D91C2" w14:textId="6BB3ED29" w:rsidR="00E57F66" w:rsidRPr="00235BAF" w:rsidRDefault="00060F19" w:rsidP="00E57F66">
      <w:pPr>
        <w:spacing w:before="0" w:after="0"/>
        <w:rPr>
          <w:rFonts w:eastAsia="Calibri"/>
          <w:szCs w:val="24"/>
          <w:lang w:val="hy-AM"/>
        </w:rPr>
      </w:pPr>
      <w:r>
        <w:rPr>
          <w:color w:val="000000"/>
          <w:szCs w:val="24"/>
          <w:shd w:val="clear" w:color="auto" w:fill="FFFFFF"/>
          <w:lang w:val="hy-AM"/>
        </w:rPr>
        <w:t>Այլ կերպ ասած</w:t>
      </w:r>
      <w:r w:rsidR="00235BAF" w:rsidRPr="00235BAF">
        <w:rPr>
          <w:color w:val="000000"/>
          <w:szCs w:val="24"/>
          <w:shd w:val="clear" w:color="auto" w:fill="FFFFFF"/>
          <w:lang w:val="hy-AM"/>
        </w:rPr>
        <w:t>,</w:t>
      </w:r>
      <w:r>
        <w:rPr>
          <w:color w:val="000000"/>
          <w:szCs w:val="24"/>
          <w:shd w:val="clear" w:color="auto" w:fill="FFFFFF"/>
          <w:lang w:val="hy-AM"/>
        </w:rPr>
        <w:t xml:space="preserve"> </w:t>
      </w:r>
      <w:r w:rsidR="00E57F66">
        <w:rPr>
          <w:color w:val="000000"/>
          <w:szCs w:val="24"/>
          <w:shd w:val="clear" w:color="auto" w:fill="FFFFFF"/>
          <w:lang w:val="hy-AM"/>
        </w:rPr>
        <w:t xml:space="preserve"> </w:t>
      </w:r>
      <w:r w:rsidR="00235BAF" w:rsidRPr="00235BAF">
        <w:rPr>
          <w:rFonts w:eastAsiaTheme="minorHAnsi" w:cstheme="minorBidi"/>
          <w:szCs w:val="24"/>
          <w:lang w:val="hy-AM"/>
        </w:rPr>
        <w:t xml:space="preserve">տեղեկատվության տրամադրումն առանց անհատականացնող տվյալների՝ հաշվեքննողի կողմից աշխատողների աշխատավարձերի, հավելումների, պարգևատրումների հաշվարկման և վճարման </w:t>
      </w:r>
      <w:r w:rsidR="00235BAF">
        <w:rPr>
          <w:rFonts w:eastAsiaTheme="minorHAnsi" w:cstheme="minorBidi"/>
          <w:szCs w:val="24"/>
          <w:lang w:val="hy-AM"/>
        </w:rPr>
        <w:t>օրինականության</w:t>
      </w:r>
      <w:r w:rsidR="00235BAF" w:rsidRPr="00235BAF">
        <w:rPr>
          <w:rFonts w:eastAsiaTheme="minorHAnsi" w:cstheme="minorBidi"/>
          <w:szCs w:val="24"/>
          <w:lang w:val="hy-AM"/>
        </w:rPr>
        <w:t xml:space="preserve"> գնահատումը՝ պետական բյուջեի կատարման ֆինանսական հաշվետվությունների արժանահավատության վերաբերյալ կարծիքի ձևավորումը դարձնում է անհնար:</w:t>
      </w:r>
    </w:p>
    <w:p w14:paraId="7A7DBB8A" w14:textId="48715D77" w:rsidR="00436FEC" w:rsidRPr="00E57F66" w:rsidRDefault="00436FEC" w:rsidP="008F3F4B">
      <w:pPr>
        <w:spacing w:before="0" w:after="0"/>
        <w:ind w:firstLine="357"/>
        <w:rPr>
          <w:rFonts w:cs="Sylfaen"/>
          <w:color w:val="000000"/>
          <w:szCs w:val="24"/>
          <w:lang w:val="hy-AM"/>
        </w:rPr>
      </w:pPr>
      <w:r w:rsidRPr="00E57F66">
        <w:rPr>
          <w:rFonts w:cs="Sylfaen"/>
          <w:color w:val="000000"/>
          <w:szCs w:val="24"/>
          <w:lang w:val="hy-AM"/>
        </w:rPr>
        <w:tab/>
      </w:r>
    </w:p>
    <w:p w14:paraId="53FE0CF1" w14:textId="388E8249" w:rsidR="00436FEC" w:rsidRPr="00BA769F" w:rsidRDefault="00436FEC" w:rsidP="003E79A9">
      <w:pPr>
        <w:spacing w:before="0" w:after="0"/>
        <w:ind w:firstLine="357"/>
        <w:rPr>
          <w:rFonts w:cs="Sylfaen"/>
          <w:color w:val="000000"/>
          <w:szCs w:val="24"/>
          <w:lang w:val="hy-AM"/>
        </w:rPr>
      </w:pPr>
      <w:r w:rsidRPr="00436FEC">
        <w:rPr>
          <w:rFonts w:cs="Sylfaen"/>
          <w:color w:val="000000"/>
          <w:szCs w:val="24"/>
          <w:lang w:val="hy-AM"/>
        </w:rPr>
        <w:t xml:space="preserve"> </w:t>
      </w:r>
      <w:r w:rsidRPr="00BA769F">
        <w:rPr>
          <w:rFonts w:cs="Sylfaen"/>
          <w:color w:val="000000"/>
          <w:szCs w:val="24"/>
          <w:lang w:val="hy-AM"/>
        </w:rPr>
        <w:t xml:space="preserve"> </w:t>
      </w:r>
    </w:p>
    <w:p w14:paraId="7BEA2749" w14:textId="1AAD07AD" w:rsidR="00EB3A3A" w:rsidRPr="00EB3A3A" w:rsidRDefault="00EB3A3A" w:rsidP="00EB3A3A">
      <w:pPr>
        <w:keepNext/>
        <w:keepLines/>
        <w:numPr>
          <w:ilvl w:val="0"/>
          <w:numId w:val="2"/>
        </w:numPr>
        <w:spacing w:before="40" w:after="0" w:line="259" w:lineRule="auto"/>
        <w:ind w:left="644"/>
        <w:jc w:val="center"/>
        <w:outlineLvl w:val="1"/>
        <w:rPr>
          <w:rFonts w:eastAsiaTheme="majorEastAsia" w:cstheme="majorBidi"/>
          <w:b/>
          <w:i/>
          <w:color w:val="000000" w:themeColor="text1"/>
          <w:sz w:val="28"/>
          <w:szCs w:val="28"/>
          <w:lang w:val="hy-AM"/>
        </w:rPr>
      </w:pPr>
      <w:r w:rsidRPr="00EB3A3A">
        <w:rPr>
          <w:rFonts w:eastAsiaTheme="majorEastAsia" w:cstheme="majorBidi"/>
          <w:b/>
          <w:i/>
          <w:color w:val="000000" w:themeColor="text1"/>
          <w:sz w:val="28"/>
          <w:szCs w:val="28"/>
          <w:lang w:val="hy-AM"/>
        </w:rPr>
        <w:t xml:space="preserve">ՀՀՊԵԿ-ԷԱՃ-ԱՊՁԲ-21/25-1 պայմանագրով մատակարարված  կոմպոզիտիվ սերվերներ և տվյալների պահոցներ </w:t>
      </w:r>
    </w:p>
    <w:p w14:paraId="544369DE" w14:textId="77777777" w:rsidR="00A71B8F" w:rsidRDefault="00A71B8F" w:rsidP="00436FEC">
      <w:pPr>
        <w:spacing w:after="0"/>
        <w:ind w:firstLine="357"/>
        <w:rPr>
          <w:rFonts w:cs="Sylfaen"/>
          <w:color w:val="000000"/>
          <w:szCs w:val="24"/>
          <w:highlight w:val="yellow"/>
          <w:lang w:val="hy-AM"/>
        </w:rPr>
      </w:pPr>
    </w:p>
    <w:p w14:paraId="6623ED25"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 xml:space="preserve">ՀՀՊԵԿ-ԷԱՃ-ԱՊՁԲ-21/25-1 պայմանագրով մատակարարված  կոմպոզիտիվ սերվերների և տվյալների պահոցները ձեռք է բերվել  1,310,160.00 հազ.դրամով՝ երկու չափաբաժին /ըստ էության հավասար է նախահաշվային գնին/: </w:t>
      </w:r>
    </w:p>
    <w:p w14:paraId="0B4D907E" w14:textId="39779C45"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Պայմանագրի չափաբաժին 2-ով նախատեսված տվյալների պահոցները ՊԵԿ-ը ձեռք է բերել «</w:t>
      </w:r>
      <w:r w:rsidR="00682F9D">
        <w:rPr>
          <w:rFonts w:cs="Sylfaen"/>
          <w:color w:val="000000"/>
          <w:szCs w:val="24"/>
          <w:lang w:val="hy-AM"/>
        </w:rPr>
        <w:t>Թ.</w:t>
      </w:r>
      <w:r w:rsidR="00682F9D" w:rsidRPr="00682F9D">
        <w:rPr>
          <w:rFonts w:cs="Sylfaen"/>
          <w:color w:val="000000"/>
          <w:szCs w:val="24"/>
          <w:lang w:val="hy-AM"/>
        </w:rPr>
        <w:t xml:space="preserve"> </w:t>
      </w:r>
      <w:r w:rsidR="00682F9D">
        <w:rPr>
          <w:rFonts w:cs="Sylfaen"/>
          <w:color w:val="000000"/>
          <w:szCs w:val="24"/>
          <w:lang w:val="hy-AM"/>
        </w:rPr>
        <w:t>Ս.</w:t>
      </w:r>
      <w:r w:rsidRPr="00EB3A3A">
        <w:rPr>
          <w:rFonts w:cs="Sylfaen"/>
          <w:color w:val="000000"/>
          <w:szCs w:val="24"/>
          <w:lang w:val="hy-AM"/>
        </w:rPr>
        <w:t xml:space="preserve">» ՓԲԸ-ից 999,760.00 հազ.դրամով (առանց ԱԱՀ):  </w:t>
      </w:r>
      <w:r w:rsidR="00682F9D" w:rsidRPr="00EB3A3A">
        <w:rPr>
          <w:rFonts w:cs="Sylfaen"/>
          <w:color w:val="000000"/>
          <w:szCs w:val="24"/>
          <w:lang w:val="hy-AM"/>
        </w:rPr>
        <w:t>«</w:t>
      </w:r>
      <w:r w:rsidR="00682F9D">
        <w:rPr>
          <w:rFonts w:cs="Sylfaen"/>
          <w:color w:val="000000"/>
          <w:szCs w:val="24"/>
          <w:lang w:val="hy-AM"/>
        </w:rPr>
        <w:t>Թ.Ս.</w:t>
      </w:r>
      <w:r w:rsidR="00682F9D" w:rsidRPr="00EB3A3A">
        <w:rPr>
          <w:rFonts w:cs="Sylfaen"/>
          <w:color w:val="000000"/>
          <w:szCs w:val="24"/>
          <w:lang w:val="hy-AM"/>
        </w:rPr>
        <w:t xml:space="preserve">» </w:t>
      </w:r>
      <w:r w:rsidRPr="00EB3A3A">
        <w:rPr>
          <w:rFonts w:cs="Sylfaen"/>
          <w:color w:val="000000"/>
          <w:szCs w:val="24"/>
          <w:lang w:val="hy-AM"/>
        </w:rPr>
        <w:t>ՓԲԸ-ն  վերոնշյալ ապրանքները 2022 թվականի  հունիսի 10-ին ձեռք է բերել «</w:t>
      </w:r>
      <w:r w:rsidR="00682F9D">
        <w:rPr>
          <w:rFonts w:cs="Sylfaen"/>
          <w:color w:val="000000"/>
          <w:szCs w:val="24"/>
          <w:lang w:val="hy-AM"/>
        </w:rPr>
        <w:t>Է.</w:t>
      </w:r>
      <w:r w:rsidR="00682F9D" w:rsidRPr="00682F9D">
        <w:rPr>
          <w:rFonts w:cs="Sylfaen"/>
          <w:color w:val="000000"/>
          <w:szCs w:val="24"/>
          <w:lang w:val="hy-AM"/>
        </w:rPr>
        <w:t xml:space="preserve"> </w:t>
      </w:r>
      <w:r w:rsidRPr="00EB3A3A">
        <w:rPr>
          <w:rFonts w:cs="Sylfaen"/>
          <w:color w:val="000000"/>
          <w:szCs w:val="24"/>
          <w:lang w:val="hy-AM"/>
        </w:rPr>
        <w:t>Դ</w:t>
      </w:r>
      <w:r w:rsidR="00682F9D" w:rsidRPr="00682F9D">
        <w:rPr>
          <w:rFonts w:cs="Sylfaen"/>
          <w:color w:val="000000"/>
          <w:szCs w:val="24"/>
          <w:lang w:val="hy-AM"/>
        </w:rPr>
        <w:t>.</w:t>
      </w:r>
      <w:r w:rsidRPr="00EB3A3A">
        <w:rPr>
          <w:rFonts w:cs="Sylfaen"/>
          <w:color w:val="000000"/>
          <w:szCs w:val="24"/>
          <w:lang w:val="hy-AM"/>
        </w:rPr>
        <w:t xml:space="preserve">» ՍՊԸ-ից 753,142.00 հազ. դրամով (առանց ԱԱՀ): Գների դրական տարբերությունը կազմում է 246,618.00 հազ. դրամ՝ 32.7% (առանց ԱԱՀ): Վերոնշյալ ապրանքները ՀՀ տարածք են ներմուծվել </w:t>
      </w:r>
      <w:r w:rsidR="00682F9D" w:rsidRPr="00EB3A3A">
        <w:rPr>
          <w:rFonts w:cs="Sylfaen"/>
          <w:color w:val="000000"/>
          <w:szCs w:val="24"/>
          <w:lang w:val="hy-AM"/>
        </w:rPr>
        <w:t>«</w:t>
      </w:r>
      <w:r w:rsidR="00682F9D">
        <w:rPr>
          <w:rFonts w:cs="Sylfaen"/>
          <w:color w:val="000000"/>
          <w:szCs w:val="24"/>
          <w:lang w:val="hy-AM"/>
        </w:rPr>
        <w:t>Է.</w:t>
      </w:r>
      <w:r w:rsidR="00682F9D" w:rsidRPr="00682F9D">
        <w:rPr>
          <w:rFonts w:cs="Sylfaen"/>
          <w:color w:val="000000"/>
          <w:szCs w:val="24"/>
          <w:lang w:val="hy-AM"/>
        </w:rPr>
        <w:t xml:space="preserve"> </w:t>
      </w:r>
      <w:r w:rsidR="00682F9D" w:rsidRPr="00EB3A3A">
        <w:rPr>
          <w:rFonts w:cs="Sylfaen"/>
          <w:color w:val="000000"/>
          <w:szCs w:val="24"/>
          <w:lang w:val="hy-AM"/>
        </w:rPr>
        <w:t>Դ</w:t>
      </w:r>
      <w:r w:rsidR="00682F9D" w:rsidRPr="00682F9D">
        <w:rPr>
          <w:rFonts w:cs="Sylfaen"/>
          <w:color w:val="000000"/>
          <w:szCs w:val="24"/>
          <w:lang w:val="hy-AM"/>
        </w:rPr>
        <w:t>.</w:t>
      </w:r>
      <w:r w:rsidR="00682F9D" w:rsidRPr="00EB3A3A">
        <w:rPr>
          <w:rFonts w:cs="Sylfaen"/>
          <w:color w:val="000000"/>
          <w:szCs w:val="24"/>
          <w:lang w:val="hy-AM"/>
        </w:rPr>
        <w:t>»</w:t>
      </w:r>
      <w:r w:rsidRPr="00EB3A3A">
        <w:rPr>
          <w:rFonts w:cs="Sylfaen"/>
          <w:color w:val="000000"/>
          <w:szCs w:val="24"/>
          <w:lang w:val="hy-AM"/>
        </w:rPr>
        <w:t xml:space="preserve"> ՍՊԸ-ի </w:t>
      </w:r>
      <w:r w:rsidRPr="00EB3A3A">
        <w:rPr>
          <w:rFonts w:cs="Sylfaen"/>
          <w:color w:val="000000"/>
          <w:szCs w:val="24"/>
          <w:lang w:val="hy-AM"/>
        </w:rPr>
        <w:lastRenderedPageBreak/>
        <w:t>կողմից 2022 թվականի հունիսի 9-ին 726,583.34 հազ. դրամով (առանց ԱԱՀ): Գների դրական տարբերությունը կազմում է 26,558.66 հազ. դրամ ՝ 3.7% (առանց ԱԱՀ):</w:t>
      </w:r>
    </w:p>
    <w:p w14:paraId="39ACE267"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Արդյունքում՝  պայմանագրի չափաբաժին 2-ով ՀՀ ներմուծված և ՊԵԿ-ին մատակարված ապրանքների գների տարբերությունը կազմել է 273,176.66 հազ. դրամ ՝ 37.6% (առանց ԱԱՀ):</w:t>
      </w:r>
    </w:p>
    <w:p w14:paraId="38765ED6"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Արձանագրվել է, որ գնումն իրականացնելիս չի կատարվել շուկայական գների վերլուծություն, չի իրականացվել գնահարցում հայաստանյան կամ արտասահմանյան համապատասխան ընկերություններից, չի կատարվել ուսումնասիրություն բաց աղբյուրներում, այլ հիմք է ընդունվել միայն նախկինում կայացած, բայց տեխնիկական միջոցների դեպքում՝ ավելի վաղ և ոչ նույն տեխնիկական բնութագրերով գնման առարկայի գնման արդյունքում ձևավորված  գները։</w:t>
      </w:r>
    </w:p>
    <w:p w14:paraId="30211448"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 xml:space="preserve">ՀՀ ՊԵԿ-ում 2022 թվականի պետական բյուջեի տարեկան կատարման հաշվեքննությամբ արձանագրվել է, որ տվյալ գնման առարկաների նախահաշվային և ՀՀՊԵԿ-ԷԱՃ-ԱՊՁԲ-21/25-1 պայմանագրային գների  համեմատական վերլուծության արդյունքն, ըստ էության,  հերքող փաստարկների (հիմնավորումների) բացակայությունը,  կայացած մրցույթին մեկ մասնակցի կողմից գնման հայտի ներկայացումը և այդ մասնակցի հետ գործնականում նախահաշվային գնով  գնման պայմանագրի կնքումը, տվյալ գնման գործարքը, գնորոշման հիմնավորվածության տեսանկյունից, ռիսկային համարելու հիմք են տալիս։  </w:t>
      </w:r>
    </w:p>
    <w:p w14:paraId="0013CE26"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 xml:space="preserve">Առաջարկվել է, հաշվեքննության օբյեկտին դիրքորոշում հայտնել վերոնշյալ գնման գործարքների գնագոյացման հիմնավորվածության վերաբերյալ:  </w:t>
      </w:r>
    </w:p>
    <w:p w14:paraId="12D83FEE" w14:textId="77777777" w:rsidR="00EB3A3A" w:rsidRPr="00EB3A3A" w:rsidRDefault="00EB3A3A" w:rsidP="00EB3A3A">
      <w:pPr>
        <w:spacing w:before="0" w:after="0"/>
        <w:ind w:firstLine="357"/>
        <w:rPr>
          <w:rFonts w:cs="Sylfaen"/>
          <w:color w:val="000000"/>
          <w:szCs w:val="24"/>
          <w:lang w:val="hy-AM"/>
        </w:rPr>
      </w:pPr>
      <w:r w:rsidRPr="00EB3A3A">
        <w:rPr>
          <w:rFonts w:cs="Sylfaen"/>
          <w:color w:val="000000"/>
          <w:szCs w:val="24"/>
          <w:lang w:val="hy-AM"/>
        </w:rPr>
        <w:t>Կայացած քննարկումների արդյունքում ՊԵԿ 21.02.2024 թվականի գրությամբ տեղեկացրել է, որ «ՀՊ-ի կողմից դիտարկված HPE MSA 1.92TB SAS 12G Read Intensive SFF (2.5in) M2 3yr Wty SSD պահոցը համեմատելի չէ ՀՀ ՊԵԿ–ի կողմից գնված HPE Primera 600 4-way տվյալների պահոցին, քանի որ վերոնշյալ 2 տվյալների պահոցները HPE MSA և HPE Primera բոլորովին տարբեր արտադրողականությունների համար են նախատեսված և տարբեր ծանրաբեռնվածության լուծումների համար են կիրառվում։ Հավելենք նաև, որ այս պահոցը, չհամապատասխանելուց զատ, ունի 3 տարվա երաշխիքային սպասարկում, իսկ ՀՀ ՊԵԿ-ի կողմից ձեռք բերվածը՝ նվազագույնը 5 տարվա սպասարկում»։</w:t>
      </w:r>
    </w:p>
    <w:p w14:paraId="2F361564" w14:textId="4B8AECF8" w:rsidR="00E11B59" w:rsidRPr="00EB3A3A" w:rsidRDefault="00E11B59" w:rsidP="00E11B59">
      <w:pPr>
        <w:spacing w:before="0" w:after="0"/>
        <w:ind w:firstLine="357"/>
        <w:rPr>
          <w:rFonts w:cs="Sylfaen"/>
          <w:color w:val="000000"/>
          <w:szCs w:val="24"/>
          <w:lang w:val="hy-AM"/>
        </w:rPr>
      </w:pPr>
      <w:r w:rsidRPr="00EB3A3A">
        <w:rPr>
          <w:rFonts w:cs="Sylfaen"/>
          <w:color w:val="000000"/>
          <w:szCs w:val="24"/>
          <w:lang w:val="hy-AM"/>
        </w:rPr>
        <w:lastRenderedPageBreak/>
        <w:t>Ստանալով տեղեկատվություն ՊԵԿ-ում տեղադրված «HPE Primera 600 4</w:t>
      </w:r>
      <w:r w:rsidRPr="00EB3A3A">
        <w:rPr>
          <w:rFonts w:cs="Sylfaen"/>
          <w:color w:val="000000"/>
          <w:szCs w:val="24"/>
          <w:lang w:val="hy-AM"/>
        </w:rPr>
        <w:noBreakHyphen/>
        <w:t>way տվյալների պահոց»-ի վերաբերյալ, ՀՊ կողմից կատարվել է հարցում HPE պաշտոնական ներկայացուցչին, որին ի պատասխան՝ HPE կողմից «HPE Primera 600 4</w:t>
      </w:r>
      <w:r w:rsidRPr="00EB3A3A">
        <w:rPr>
          <w:rFonts w:cs="Sylfaen"/>
          <w:color w:val="000000"/>
          <w:szCs w:val="24"/>
          <w:lang w:val="hy-AM"/>
        </w:rPr>
        <w:noBreakHyphen/>
        <w:t>way տվյալների պահոց»-ի համար առաջարկվել են մի քանի տարբերակներ, ինչպես օրինակ՝ «HPE Primera 600 1.92 TB SAS SFF FE SSD» սկավառակները, որոնց միավորի արժեքը կազմում է շուրջ 7-</w:t>
      </w:r>
      <w:r w:rsidRPr="00AD2F8A">
        <w:rPr>
          <w:rFonts w:cs="Sylfaen"/>
          <w:color w:val="000000"/>
          <w:szCs w:val="24"/>
          <w:lang w:val="hy-AM"/>
        </w:rPr>
        <w:t>11,500</w:t>
      </w:r>
      <w:r w:rsidRPr="00EB3A3A">
        <w:rPr>
          <w:rFonts w:cs="Sylfaen"/>
          <w:color w:val="000000"/>
          <w:szCs w:val="24"/>
          <w:lang w:val="hy-AM"/>
        </w:rPr>
        <w:t xml:space="preserve"> </w:t>
      </w:r>
      <w:r w:rsidRPr="00AD2F8A">
        <w:rPr>
          <w:rFonts w:cs="Sylfaen"/>
          <w:color w:val="000000"/>
          <w:szCs w:val="24"/>
          <w:lang w:val="hy-AM"/>
        </w:rPr>
        <w:t xml:space="preserve"> </w:t>
      </w:r>
      <w:r w:rsidRPr="00EB3A3A">
        <w:rPr>
          <w:rFonts w:cs="Sylfaen"/>
          <w:color w:val="000000"/>
          <w:szCs w:val="24"/>
          <w:lang w:val="hy-AM"/>
        </w:rPr>
        <w:t xml:space="preserve">ԱՄՆ դոլար </w:t>
      </w:r>
      <w:r>
        <w:rPr>
          <w:lang w:val="hy-AM"/>
        </w:rPr>
        <w:t>(</w:t>
      </w:r>
      <w:r w:rsidR="00682F9D" w:rsidRPr="00682F9D">
        <w:rPr>
          <w:lang w:val="hy-AM"/>
        </w:rPr>
        <w:t xml:space="preserve">առավելագույնը՝ </w:t>
      </w:r>
      <w:r w:rsidRPr="003C2DF8">
        <w:rPr>
          <w:lang w:val="hy-AM"/>
        </w:rPr>
        <w:t>4,</w:t>
      </w:r>
      <w:r>
        <w:rPr>
          <w:lang w:val="hy-AM"/>
        </w:rPr>
        <w:t>445.21 հազ. դրամ)</w:t>
      </w:r>
      <w:r w:rsidRPr="00EB3A3A">
        <w:rPr>
          <w:rFonts w:cs="Sylfaen"/>
          <w:color w:val="000000"/>
          <w:szCs w:val="24"/>
          <w:lang w:val="hy-AM"/>
        </w:rPr>
        <w:t xml:space="preserve">, իսկ պահանջվող խմբաքանակի՝ 96 միավոր ընդհանուր արժեքը՝ շուրջ </w:t>
      </w:r>
      <w:r>
        <w:rPr>
          <w:lang w:val="hy-AM"/>
        </w:rPr>
        <w:t xml:space="preserve">426,740.16 </w:t>
      </w:r>
      <w:r w:rsidRPr="00EB3A3A">
        <w:rPr>
          <w:rFonts w:cs="Sylfaen"/>
          <w:color w:val="000000"/>
          <w:szCs w:val="24"/>
          <w:lang w:val="hy-AM"/>
        </w:rPr>
        <w:t>հազ. դրամ։ Ի դեպ</w:t>
      </w:r>
      <w:r w:rsidR="009E32F5" w:rsidRPr="009E32F5">
        <w:rPr>
          <w:rFonts w:cs="Sylfaen"/>
          <w:color w:val="000000"/>
          <w:szCs w:val="24"/>
          <w:lang w:val="hy-AM"/>
        </w:rPr>
        <w:t>,</w:t>
      </w:r>
      <w:r w:rsidRPr="00EB3A3A">
        <w:rPr>
          <w:rFonts w:cs="Sylfaen"/>
          <w:color w:val="000000"/>
          <w:szCs w:val="24"/>
          <w:lang w:val="hy-AM"/>
        </w:rPr>
        <w:t xml:space="preserve"> HPE կողմից առաջարկված սկավառակները նույնպես համապատասխանում են տեխնիկական առաջադրանքով ներկայացված բնութագրերին։</w:t>
      </w:r>
    </w:p>
    <w:p w14:paraId="48DF621D" w14:textId="16555983" w:rsidR="00E11B59" w:rsidRPr="00EB3A3A" w:rsidRDefault="004976E0" w:rsidP="00E11B59">
      <w:pPr>
        <w:spacing w:before="0" w:after="0"/>
        <w:ind w:firstLine="357"/>
        <w:rPr>
          <w:rFonts w:cs="Sylfaen"/>
          <w:color w:val="000000"/>
          <w:szCs w:val="24"/>
          <w:lang w:val="hy-AM"/>
        </w:rPr>
      </w:pPr>
      <w:r>
        <w:rPr>
          <w:rFonts w:cs="Sylfaen"/>
          <w:color w:val="000000"/>
          <w:szCs w:val="24"/>
          <w:lang w:val="hy-AM"/>
        </w:rPr>
        <w:t>Հավել</w:t>
      </w:r>
      <w:r w:rsidR="00E11B59" w:rsidRPr="00EB3A3A">
        <w:rPr>
          <w:rFonts w:cs="Sylfaen"/>
          <w:color w:val="000000"/>
          <w:szCs w:val="24"/>
          <w:lang w:val="hy-AM"/>
        </w:rPr>
        <w:t>ենք նաև, որ ՊԵԿ կողմից ձեռք բերված տվյալների պահոցի (Չափաբաժին 2) մաքսային արժեքը</w:t>
      </w:r>
      <w:r w:rsidR="003A5F5F" w:rsidRPr="003A5F5F">
        <w:rPr>
          <w:rFonts w:cs="Sylfaen"/>
          <w:color w:val="000000"/>
          <w:szCs w:val="24"/>
          <w:lang w:val="hy-AM"/>
        </w:rPr>
        <w:t xml:space="preserve"> </w:t>
      </w:r>
      <w:r w:rsidR="00E11B59" w:rsidRPr="00EB3A3A">
        <w:rPr>
          <w:rFonts w:cs="Sylfaen"/>
          <w:color w:val="000000"/>
          <w:szCs w:val="24"/>
          <w:lang w:val="hy-AM"/>
        </w:rPr>
        <w:t xml:space="preserve"> կազմել է 726,586.4 հազ. դրամ (1,686,630 ԱՄՆ դոլար), որը ներառում է ոչ միայն տվյալների պահոցների 1.92 TB SSD SAS 2.5” սկավառակները, այլ նաև Չափաբաժին 2</w:t>
      </w:r>
      <w:r w:rsidR="00E11B59" w:rsidRPr="00EB3A3A">
        <w:rPr>
          <w:rFonts w:cs="Sylfaen"/>
          <w:color w:val="000000"/>
          <w:szCs w:val="24"/>
          <w:lang w:val="hy-AM"/>
        </w:rPr>
        <w:noBreakHyphen/>
        <w:t>ով նախատեսված՝ տվյալների պահոցների մնացած բաղադրիչները։ Նշված ապրանքները մատակարարվել են ՊԵԿ-ին 999,800</w:t>
      </w:r>
      <w:r w:rsidR="00E11B59" w:rsidRPr="00EB3A3A">
        <w:rPr>
          <w:rFonts w:ascii="Cambria Math" w:hAnsi="Cambria Math" w:cs="Cambria Math"/>
          <w:color w:val="000000"/>
          <w:szCs w:val="24"/>
          <w:lang w:val="hy-AM"/>
        </w:rPr>
        <w:t>․</w:t>
      </w:r>
      <w:r w:rsidR="00E11B59" w:rsidRPr="00EB3A3A">
        <w:rPr>
          <w:rFonts w:cs="Sylfaen"/>
          <w:color w:val="000000"/>
          <w:szCs w:val="24"/>
          <w:lang w:val="hy-AM"/>
        </w:rPr>
        <w:t>0 հազ. դրամով (առանց ԱԱՀ-ի),  որի մեջ սկավառակների արժեքը համամասնո</w:t>
      </w:r>
      <w:r w:rsidR="003A5F5F" w:rsidRPr="003A5F5F">
        <w:rPr>
          <w:rFonts w:cs="Sylfaen"/>
          <w:color w:val="000000"/>
          <w:szCs w:val="24"/>
          <w:lang w:val="hy-AM"/>
        </w:rPr>
        <w:t>ր</w:t>
      </w:r>
      <w:bookmarkStart w:id="31" w:name="_GoBack"/>
      <w:bookmarkEnd w:id="31"/>
      <w:r w:rsidR="00E11B59" w:rsidRPr="00EB3A3A">
        <w:rPr>
          <w:rFonts w:cs="Sylfaen"/>
          <w:color w:val="000000"/>
          <w:szCs w:val="24"/>
          <w:lang w:val="hy-AM"/>
        </w:rPr>
        <w:t xml:space="preserve">են կազմել է մոտ 800,000.00 հազ.դրամ, կամ շուկայական գնի նկատմամբ </w:t>
      </w:r>
      <w:r w:rsidR="00E11B59" w:rsidRPr="00AD2F8A">
        <w:rPr>
          <w:rFonts w:cs="Sylfaen"/>
          <w:color w:val="000000"/>
          <w:szCs w:val="24"/>
          <w:lang w:val="hy-AM"/>
        </w:rPr>
        <w:t>1.</w:t>
      </w:r>
      <w:r w:rsidR="00E11B59" w:rsidRPr="004848FD">
        <w:rPr>
          <w:rFonts w:cs="Sylfaen"/>
          <w:color w:val="000000"/>
          <w:szCs w:val="24"/>
          <w:lang w:val="hy-AM"/>
        </w:rPr>
        <w:t>9</w:t>
      </w:r>
      <w:r w:rsidR="00E11B59" w:rsidRPr="00EB3A3A">
        <w:rPr>
          <w:rFonts w:cs="Sylfaen"/>
          <w:color w:val="000000"/>
          <w:szCs w:val="24"/>
          <w:lang w:val="hy-AM"/>
        </w:rPr>
        <w:t xml:space="preserve"> անգամ ավելի:</w:t>
      </w:r>
    </w:p>
    <w:p w14:paraId="3CC3C2A2" w14:textId="66F5D715" w:rsidR="001830F5" w:rsidRDefault="001830F5" w:rsidP="00E11B59">
      <w:pPr>
        <w:rPr>
          <w:lang w:val="hy-AM"/>
        </w:rPr>
      </w:pPr>
      <w:r>
        <w:rPr>
          <w:lang w:val="hy-AM"/>
        </w:rPr>
        <w:br w:type="page"/>
      </w:r>
    </w:p>
    <w:p w14:paraId="5E03F8AD" w14:textId="77777777" w:rsidR="005D101C" w:rsidRPr="000E1134" w:rsidRDefault="005D101C" w:rsidP="005D101C">
      <w:pPr>
        <w:numPr>
          <w:ilvl w:val="0"/>
          <w:numId w:val="1"/>
        </w:numPr>
        <w:spacing w:before="0" w:line="240" w:lineRule="auto"/>
        <w:ind w:left="0" w:firstLine="0"/>
        <w:jc w:val="center"/>
        <w:outlineLvl w:val="0"/>
        <w:rPr>
          <w:b/>
          <w:color w:val="0070C0"/>
          <w:sz w:val="28"/>
          <w:szCs w:val="28"/>
          <w:lang w:val="hy-AM"/>
        </w:rPr>
      </w:pPr>
      <w:r w:rsidRPr="000F123F">
        <w:rPr>
          <w:b/>
          <w:color w:val="0070C0"/>
          <w:sz w:val="28"/>
          <w:szCs w:val="28"/>
          <w:lang w:val="hy-AM"/>
        </w:rPr>
        <w:lastRenderedPageBreak/>
        <w:t xml:space="preserve"> </w:t>
      </w:r>
      <w:bookmarkStart w:id="32" w:name="_Toc164676877"/>
      <w:r w:rsidRPr="000E1134">
        <w:rPr>
          <w:b/>
          <w:color w:val="0070C0"/>
          <w:sz w:val="28"/>
          <w:szCs w:val="28"/>
          <w:lang w:val="hy-AM"/>
        </w:rPr>
        <w:t>Ա</w:t>
      </w:r>
      <w:r w:rsidRPr="000E1134">
        <w:rPr>
          <w:b/>
          <w:color w:val="0070C0"/>
          <w:sz w:val="28"/>
          <w:szCs w:val="28"/>
          <w:lang w:val="en-GB"/>
        </w:rPr>
        <w:t>ՌԱ</w:t>
      </w:r>
      <w:r w:rsidRPr="000E1134">
        <w:rPr>
          <w:b/>
          <w:color w:val="0070C0"/>
          <w:sz w:val="28"/>
          <w:szCs w:val="28"/>
          <w:lang w:val="hy-AM"/>
        </w:rPr>
        <w:t>ՋԱՐԿՈՒԹՅՈՒՆՆԵՐ</w:t>
      </w:r>
      <w:bookmarkEnd w:id="32"/>
    </w:p>
    <w:p w14:paraId="5967F324" w14:textId="77777777" w:rsidR="005D101C" w:rsidRPr="000E1134" w:rsidRDefault="005D101C" w:rsidP="005D101C">
      <w:pPr>
        <w:pStyle w:val="ListParagraph"/>
        <w:spacing w:after="0" w:line="276" w:lineRule="auto"/>
        <w:ind w:left="0" w:firstLine="720"/>
        <w:rPr>
          <w:szCs w:val="24"/>
          <w:lang w:val="hy-AM"/>
        </w:rPr>
      </w:pPr>
    </w:p>
    <w:p w14:paraId="03E7944F" w14:textId="77777777" w:rsidR="005D101C" w:rsidRPr="000E1134" w:rsidRDefault="005D101C" w:rsidP="005D101C">
      <w:pPr>
        <w:pStyle w:val="ListParagraph"/>
        <w:spacing w:after="0" w:line="276" w:lineRule="auto"/>
        <w:ind w:left="0" w:firstLine="720"/>
        <w:rPr>
          <w:b/>
          <w:i/>
          <w:sz w:val="24"/>
          <w:szCs w:val="24"/>
          <w:lang w:val="hy-AM"/>
        </w:rPr>
      </w:pPr>
      <w:r w:rsidRPr="000E1134">
        <w:rPr>
          <w:b/>
          <w:i/>
          <w:sz w:val="24"/>
          <w:szCs w:val="24"/>
          <w:lang w:val="hy-AM"/>
        </w:rPr>
        <w:t xml:space="preserve">ՀՀ պետական եկամուտների կոմիտեին. </w:t>
      </w:r>
    </w:p>
    <w:p w14:paraId="66314136" w14:textId="77777777" w:rsidR="005D101C" w:rsidRPr="000E1134" w:rsidRDefault="005D101C" w:rsidP="005D101C">
      <w:pPr>
        <w:pStyle w:val="ListParagraph"/>
        <w:spacing w:after="0" w:line="276" w:lineRule="auto"/>
        <w:ind w:left="708"/>
        <w:rPr>
          <w:sz w:val="24"/>
          <w:szCs w:val="24"/>
          <w:lang w:val="hy-AM"/>
        </w:rPr>
      </w:pPr>
      <w:r w:rsidRPr="000E1134">
        <w:rPr>
          <w:b/>
          <w:i/>
          <w:sz w:val="24"/>
          <w:szCs w:val="24"/>
          <w:lang w:val="hy-AM"/>
        </w:rPr>
        <w:t>Միջոցներ ձեռնարկել</w:t>
      </w:r>
      <w:r w:rsidRPr="000E1134">
        <w:rPr>
          <w:sz w:val="24"/>
          <w:szCs w:val="24"/>
          <w:lang w:val="hy-AM"/>
        </w:rPr>
        <w:t xml:space="preserve"> </w:t>
      </w:r>
    </w:p>
    <w:p w14:paraId="0A9F9C65" w14:textId="2C71A130" w:rsidR="005D101C" w:rsidRPr="000E1134" w:rsidRDefault="005D101C" w:rsidP="005D101C">
      <w:pPr>
        <w:pStyle w:val="ListParagraph"/>
        <w:numPr>
          <w:ilvl w:val="0"/>
          <w:numId w:val="3"/>
        </w:numPr>
        <w:spacing w:after="0" w:line="276" w:lineRule="auto"/>
        <w:ind w:left="0" w:firstLine="0"/>
        <w:rPr>
          <w:sz w:val="24"/>
          <w:szCs w:val="24"/>
          <w:lang w:val="hy-AM"/>
        </w:rPr>
      </w:pPr>
      <w:r w:rsidRPr="000E1134">
        <w:rPr>
          <w:sz w:val="24"/>
          <w:szCs w:val="24"/>
          <w:lang w:val="hy-AM"/>
        </w:rPr>
        <w:t>ՀՀ աշխատանքային օրենսգրքով սահմանված գիշերային աշխատանքի համար  առանձին կատեգորիաների աշխատողներին հասանելիք հավելումների հաշվարկման և վճարման ուղղությամբ</w:t>
      </w:r>
      <w:r w:rsidR="00F35F26">
        <w:rPr>
          <w:rFonts w:ascii="Cambria Math" w:hAnsi="Cambria Math"/>
          <w:sz w:val="24"/>
          <w:szCs w:val="24"/>
          <w:lang w:val="hy-AM"/>
        </w:rPr>
        <w:t>․</w:t>
      </w:r>
    </w:p>
    <w:p w14:paraId="34FD8E05" w14:textId="50F2C950" w:rsidR="00F35F26" w:rsidRDefault="005D101C" w:rsidP="001F17E3">
      <w:pPr>
        <w:pStyle w:val="ListParagraph"/>
        <w:numPr>
          <w:ilvl w:val="0"/>
          <w:numId w:val="3"/>
        </w:numPr>
        <w:spacing w:after="0" w:line="276" w:lineRule="auto"/>
        <w:ind w:left="0" w:firstLine="0"/>
        <w:rPr>
          <w:sz w:val="24"/>
          <w:szCs w:val="24"/>
          <w:lang w:val="hy-AM"/>
        </w:rPr>
      </w:pPr>
      <w:r w:rsidRPr="00F35F26">
        <w:rPr>
          <w:sz w:val="24"/>
          <w:szCs w:val="24"/>
          <w:lang w:val="hy-AM"/>
        </w:rPr>
        <w:t>Շահագործվող ավտոտրանսպորտային միջոցների վառելիքի փաստացի ծախսը՝ սկզբնական հաշվառման փաստաթղթերում՝ երթուղային թերթիկներում օրական կամ ամսական վազքի ցուցմունքների հիմա վրա ճանաչելու և ձևակերպելու համար</w:t>
      </w:r>
      <w:r w:rsidR="00F35F26">
        <w:rPr>
          <w:rFonts w:ascii="Cambria Math" w:hAnsi="Cambria Math"/>
          <w:sz w:val="24"/>
          <w:szCs w:val="24"/>
          <w:lang w:val="hy-AM"/>
        </w:rPr>
        <w:t>․</w:t>
      </w:r>
    </w:p>
    <w:p w14:paraId="2ABBB767" w14:textId="2E426B2C" w:rsidR="00671B4E" w:rsidRPr="00F35F26" w:rsidRDefault="00671B4E" w:rsidP="001F17E3">
      <w:pPr>
        <w:pStyle w:val="ListParagraph"/>
        <w:numPr>
          <w:ilvl w:val="0"/>
          <w:numId w:val="3"/>
        </w:numPr>
        <w:spacing w:after="0" w:line="276" w:lineRule="auto"/>
        <w:ind w:left="0" w:firstLine="0"/>
        <w:rPr>
          <w:sz w:val="24"/>
          <w:szCs w:val="24"/>
          <w:lang w:val="hy-AM"/>
        </w:rPr>
      </w:pPr>
      <w:r w:rsidRPr="00F35F26">
        <w:rPr>
          <w:sz w:val="24"/>
          <w:szCs w:val="24"/>
          <w:lang w:val="hy-AM"/>
        </w:rPr>
        <w:t>ՊԵԿ-ի կողմից վերահսկվող՝ պետությանը պատկանող  ակտիվների և պարտավորությունների հաշվապահական հաշվառումը  ՀՀՀՀՀՀՍ-ի պահանջներին և հաշվային պլանին համապատասխան վարելու ուղղությամբ</w:t>
      </w:r>
      <w:r w:rsidR="00F35F26">
        <w:rPr>
          <w:rFonts w:ascii="Cambria Math" w:hAnsi="Cambria Math"/>
          <w:sz w:val="24"/>
          <w:szCs w:val="24"/>
          <w:lang w:val="hy-AM"/>
        </w:rPr>
        <w:t>․</w:t>
      </w:r>
      <w:r w:rsidRPr="00F35F26">
        <w:rPr>
          <w:sz w:val="24"/>
          <w:szCs w:val="24"/>
          <w:lang w:val="hy-AM"/>
        </w:rPr>
        <w:t xml:space="preserve"> </w:t>
      </w:r>
    </w:p>
    <w:p w14:paraId="18813C1B" w14:textId="2F39D46F" w:rsidR="00F35F26" w:rsidRPr="00E11B59" w:rsidRDefault="00F35F26" w:rsidP="00F35F26">
      <w:pPr>
        <w:pStyle w:val="ListParagraph"/>
        <w:numPr>
          <w:ilvl w:val="0"/>
          <w:numId w:val="3"/>
        </w:numPr>
        <w:spacing w:after="0" w:line="276" w:lineRule="auto"/>
        <w:ind w:left="0" w:firstLine="0"/>
        <w:rPr>
          <w:sz w:val="24"/>
          <w:szCs w:val="24"/>
          <w:lang w:val="hy-AM"/>
        </w:rPr>
      </w:pPr>
      <w:r w:rsidRPr="00E11B59">
        <w:rPr>
          <w:sz w:val="24"/>
          <w:szCs w:val="24"/>
          <w:lang w:val="hy-AM"/>
        </w:rPr>
        <w:t>Գնման առարկա հանդիսացող ապրանքների նախահաշվային գները ՀՀ ֆինանսների նախարարության կողմից հրապարակվող պետական միջնաժամկետ ծախսերի ծրագրի և պետական բյուջեի նախագծերի մշակման շրջանակներում պետական մարմինների բյուջետային հայտերի կազմման և ներկայացման մեթոդական ցուցումների հիման վրա հաշվարկելու (հիմնավորվածությունն ապահովելու) ուղղությամբ</w:t>
      </w:r>
      <w:r>
        <w:rPr>
          <w:rFonts w:ascii="Cambria Math" w:hAnsi="Cambria Math"/>
          <w:sz w:val="24"/>
          <w:szCs w:val="24"/>
          <w:lang w:val="hy-AM"/>
        </w:rPr>
        <w:t>․</w:t>
      </w:r>
    </w:p>
    <w:p w14:paraId="4AB17059" w14:textId="43DB2547" w:rsidR="00E11B59" w:rsidRPr="00E11B59" w:rsidRDefault="00F35F26" w:rsidP="00911B0A">
      <w:pPr>
        <w:pStyle w:val="ListParagraph"/>
        <w:spacing w:after="0" w:line="276" w:lineRule="auto"/>
        <w:ind w:left="0"/>
        <w:rPr>
          <w:sz w:val="24"/>
          <w:szCs w:val="24"/>
          <w:lang w:val="hy-AM"/>
        </w:rPr>
      </w:pPr>
      <w:r>
        <w:rPr>
          <w:sz w:val="24"/>
          <w:szCs w:val="24"/>
          <w:lang w:val="hy-AM"/>
        </w:rPr>
        <w:t>5․</w:t>
      </w:r>
      <w:r w:rsidR="00E11B59" w:rsidRPr="00E11B59">
        <w:rPr>
          <w:sz w:val="24"/>
          <w:szCs w:val="24"/>
          <w:lang w:val="hy-AM"/>
        </w:rPr>
        <w:t>Օրենսդրությամբ հարկային մարմնին վերապահված հարկային հսկողության լիազորությունների շրջանակներում</w:t>
      </w:r>
      <w:r w:rsidR="00E11B59" w:rsidRPr="00E11B59">
        <w:rPr>
          <w:rFonts w:ascii="Calibri" w:hAnsi="Calibri" w:cs="Calibri"/>
          <w:sz w:val="24"/>
          <w:szCs w:val="24"/>
          <w:lang w:val="hy-AM"/>
        </w:rPr>
        <w:t> </w:t>
      </w:r>
      <w:r w:rsidR="00E11B59">
        <w:rPr>
          <w:sz w:val="24"/>
          <w:szCs w:val="24"/>
          <w:lang w:val="hy-AM"/>
        </w:rPr>
        <w:t xml:space="preserve"> </w:t>
      </w:r>
      <w:r w:rsidR="00E11B59" w:rsidRPr="00E11B59">
        <w:rPr>
          <w:sz w:val="24"/>
          <w:szCs w:val="24"/>
          <w:lang w:val="hy-AM"/>
        </w:rPr>
        <w:t xml:space="preserve">սույն ընթացիկ եզրակացության 10-րդ կետում արձանագրված գնման գործարքում փոխկապակցված կազմակերպությունների (մասնավորապես` </w:t>
      </w:r>
      <w:r w:rsidR="00682F9D" w:rsidRPr="00EB3A3A">
        <w:rPr>
          <w:rFonts w:cs="Sylfaen"/>
          <w:color w:val="000000"/>
          <w:szCs w:val="24"/>
          <w:lang w:val="hy-AM"/>
        </w:rPr>
        <w:t>«</w:t>
      </w:r>
      <w:r w:rsidR="00682F9D">
        <w:rPr>
          <w:rFonts w:cs="Sylfaen"/>
          <w:color w:val="000000"/>
          <w:szCs w:val="24"/>
          <w:lang w:val="hy-AM"/>
        </w:rPr>
        <w:t>Է.</w:t>
      </w:r>
      <w:r w:rsidR="00682F9D" w:rsidRPr="00682F9D">
        <w:rPr>
          <w:rFonts w:cs="Sylfaen"/>
          <w:color w:val="000000"/>
          <w:szCs w:val="24"/>
          <w:lang w:val="hy-AM"/>
        </w:rPr>
        <w:t xml:space="preserve"> </w:t>
      </w:r>
      <w:r w:rsidR="00682F9D" w:rsidRPr="00EB3A3A">
        <w:rPr>
          <w:rFonts w:cs="Sylfaen"/>
          <w:color w:val="000000"/>
          <w:szCs w:val="24"/>
          <w:lang w:val="hy-AM"/>
        </w:rPr>
        <w:t>Դ</w:t>
      </w:r>
      <w:r w:rsidR="00682F9D" w:rsidRPr="00682F9D">
        <w:rPr>
          <w:rFonts w:cs="Sylfaen"/>
          <w:color w:val="000000"/>
          <w:szCs w:val="24"/>
          <w:lang w:val="hy-AM"/>
        </w:rPr>
        <w:t>.</w:t>
      </w:r>
      <w:r w:rsidR="00682F9D" w:rsidRPr="00EB3A3A">
        <w:rPr>
          <w:rFonts w:cs="Sylfaen"/>
          <w:color w:val="000000"/>
          <w:szCs w:val="24"/>
          <w:lang w:val="hy-AM"/>
        </w:rPr>
        <w:t>»</w:t>
      </w:r>
      <w:r w:rsidR="00E11B59" w:rsidRPr="00E11B59">
        <w:rPr>
          <w:sz w:val="24"/>
          <w:szCs w:val="24"/>
          <w:lang w:val="hy-AM"/>
        </w:rPr>
        <w:t xml:space="preserve"> ՍՊԸ և</w:t>
      </w:r>
      <w:r w:rsidR="00682F9D">
        <w:rPr>
          <w:sz w:val="24"/>
          <w:szCs w:val="24"/>
          <w:lang w:val="hy-AM"/>
        </w:rPr>
        <w:t xml:space="preserve"> «E. D.</w:t>
      </w:r>
      <w:r w:rsidR="00E11B59" w:rsidRPr="00E11B59">
        <w:rPr>
          <w:sz w:val="24"/>
          <w:szCs w:val="24"/>
          <w:lang w:val="hy-AM"/>
        </w:rPr>
        <w:t>» AG) և (կամ) ֆիզիկական անձանց առկայության, ինչպես նաև հարկման բազայի հաշվարկման համար այդ ապրանքների մաքսային արժեքի որոշման, ըստ այդմ գնման և վաճառքի գների ճշտությունը</w:t>
      </w:r>
      <w:r w:rsidR="00911B0A">
        <w:rPr>
          <w:sz w:val="24"/>
          <w:szCs w:val="24"/>
          <w:lang w:val="hy-AM"/>
        </w:rPr>
        <w:t xml:space="preserve"> </w:t>
      </w:r>
      <w:r w:rsidR="00911B0A" w:rsidRPr="00911B0A">
        <w:rPr>
          <w:sz w:val="24"/>
          <w:szCs w:val="24"/>
          <w:lang w:val="hy-AM"/>
        </w:rPr>
        <w:t>(</w:t>
      </w:r>
      <w:r w:rsidR="00911B0A">
        <w:rPr>
          <w:sz w:val="24"/>
          <w:szCs w:val="24"/>
          <w:lang w:val="hy-AM"/>
        </w:rPr>
        <w:t>հիմնավորվածությունը</w:t>
      </w:r>
      <w:r w:rsidR="00911B0A" w:rsidRPr="00911B0A">
        <w:rPr>
          <w:sz w:val="24"/>
          <w:szCs w:val="24"/>
          <w:lang w:val="hy-AM"/>
        </w:rPr>
        <w:t>)</w:t>
      </w:r>
      <w:r w:rsidR="00E11B59" w:rsidRPr="00E11B59">
        <w:rPr>
          <w:sz w:val="24"/>
          <w:szCs w:val="24"/>
          <w:lang w:val="hy-AM"/>
        </w:rPr>
        <w:t xml:space="preserve"> պարզելու</w:t>
      </w:r>
      <w:r w:rsidR="00E11B59" w:rsidRPr="00E11B59">
        <w:rPr>
          <w:rFonts w:ascii="Calibri" w:hAnsi="Calibri" w:cs="Calibri"/>
          <w:sz w:val="24"/>
          <w:szCs w:val="24"/>
          <w:lang w:val="hy-AM"/>
        </w:rPr>
        <w:t> </w:t>
      </w:r>
      <w:r w:rsidR="00E11B59" w:rsidRPr="00E11B59">
        <w:rPr>
          <w:sz w:val="24"/>
          <w:szCs w:val="24"/>
          <w:lang w:val="hy-AM"/>
        </w:rPr>
        <w:t xml:space="preserve"> ուղղությամբ։</w:t>
      </w:r>
      <w:r w:rsidR="00E11B59" w:rsidRPr="00E11B59">
        <w:rPr>
          <w:rFonts w:ascii="Calibri" w:hAnsi="Calibri" w:cs="Calibri"/>
          <w:sz w:val="24"/>
          <w:szCs w:val="24"/>
          <w:lang w:val="hy-AM"/>
        </w:rPr>
        <w:t> </w:t>
      </w:r>
    </w:p>
    <w:p w14:paraId="7E77B199" w14:textId="11C752D5" w:rsidR="005D101C" w:rsidRPr="00F35F26" w:rsidRDefault="00F35F26" w:rsidP="00F35F26">
      <w:pPr>
        <w:pStyle w:val="ListParagraph"/>
        <w:spacing w:after="0" w:line="276" w:lineRule="auto"/>
        <w:ind w:left="0"/>
        <w:rPr>
          <w:sz w:val="24"/>
          <w:szCs w:val="24"/>
          <w:lang w:val="hy-AM"/>
        </w:rPr>
      </w:pPr>
      <w:r>
        <w:rPr>
          <w:szCs w:val="24"/>
          <w:lang w:val="hy-AM"/>
        </w:rPr>
        <w:t>6․</w:t>
      </w:r>
      <w:r w:rsidR="00671B4E" w:rsidRPr="00F35F26">
        <w:rPr>
          <w:sz w:val="24"/>
          <w:szCs w:val="24"/>
          <w:lang w:val="hy-AM"/>
        </w:rPr>
        <w:t>Սո</w:t>
      </w:r>
      <w:r w:rsidR="005D101C" w:rsidRPr="00F35F26">
        <w:rPr>
          <w:sz w:val="24"/>
          <w:szCs w:val="24"/>
          <w:lang w:val="hy-AM"/>
        </w:rPr>
        <w:t xml:space="preserve">ւյն ընթացիկ եզրակացությունում բերված անհամապատասխանությունների, խեղաթյուրումների և/կամ այլ փաստերով ներկայացված խնդիրների վերացման/շտկման նպատակով մշակել և հաստատել միջոցառումների/գործողությունների ծրագիր, որը կպարունակի յուրաքանչյուր միջոցառման համար պատասխանատու պաշտոնատար անձ </w:t>
      </w:r>
      <w:r w:rsidR="005D101C" w:rsidRPr="00F35F26">
        <w:rPr>
          <w:sz w:val="24"/>
          <w:szCs w:val="24"/>
          <w:lang w:val="hy-AM"/>
        </w:rPr>
        <w:lastRenderedPageBreak/>
        <w:t>և միջոցառման կատարման իրատեսական ժամանակացույց՝ պատճենը ներկայացնելով Հաշվեքննիչ պալատ:</w:t>
      </w:r>
    </w:p>
    <w:p w14:paraId="50E529DA" w14:textId="77777777" w:rsidR="005D101C" w:rsidRPr="000F123F" w:rsidRDefault="005D101C" w:rsidP="005D101C">
      <w:pPr>
        <w:rPr>
          <w:lang w:val="hy-AM"/>
        </w:rPr>
        <w:sectPr w:rsidR="005D101C" w:rsidRPr="000F123F" w:rsidSect="00F940A3">
          <w:headerReference w:type="default" r:id="rId12"/>
          <w:footerReference w:type="default" r:id="rId13"/>
          <w:headerReference w:type="first" r:id="rId14"/>
          <w:pgSz w:w="12240" w:h="15840"/>
          <w:pgMar w:top="1440" w:right="810" w:bottom="1440" w:left="1440" w:header="720" w:footer="720" w:gutter="0"/>
          <w:cols w:space="720"/>
          <w:titlePg/>
          <w:docGrid w:linePitch="360"/>
        </w:sectPr>
      </w:pPr>
    </w:p>
    <w:p w14:paraId="02835FFF" w14:textId="77777777" w:rsidR="005D101C" w:rsidRPr="000F123F" w:rsidRDefault="005D101C" w:rsidP="005D101C">
      <w:pPr>
        <w:numPr>
          <w:ilvl w:val="0"/>
          <w:numId w:val="1"/>
        </w:numPr>
        <w:spacing w:before="0" w:line="240" w:lineRule="auto"/>
        <w:ind w:left="0" w:firstLine="0"/>
        <w:jc w:val="center"/>
        <w:outlineLvl w:val="0"/>
        <w:rPr>
          <w:b/>
          <w:color w:val="0070C0"/>
          <w:sz w:val="28"/>
          <w:szCs w:val="28"/>
          <w:lang w:val="hy-AM"/>
        </w:rPr>
      </w:pPr>
      <w:bookmarkStart w:id="33" w:name="_Toc156911242"/>
      <w:bookmarkStart w:id="34" w:name="_Toc164676878"/>
      <w:r w:rsidRPr="000F123F">
        <w:rPr>
          <w:b/>
          <w:color w:val="0070C0"/>
          <w:sz w:val="28"/>
          <w:szCs w:val="28"/>
          <w:lang w:val="hy-AM"/>
        </w:rPr>
        <w:lastRenderedPageBreak/>
        <w:t>«ՀԵՏՀՍԿՈՂԱԿԱՆ ԳՈՐԾԸՆԹԱՑ»</w:t>
      </w:r>
      <w:bookmarkEnd w:id="33"/>
      <w:bookmarkEnd w:id="34"/>
    </w:p>
    <w:p w14:paraId="05067E46" w14:textId="77777777" w:rsidR="005D101C" w:rsidRPr="00920045" w:rsidRDefault="005D101C" w:rsidP="005D101C">
      <w:pPr>
        <w:jc w:val="center"/>
        <w:rPr>
          <w:lang w:val="hy-AM"/>
        </w:rPr>
      </w:pPr>
      <w:r w:rsidRPr="000F123F">
        <w:rPr>
          <w:lang w:val="hy-AM"/>
        </w:rPr>
        <w:t xml:space="preserve">ԱՆՀԱՄԱՊԱՏԱՍԽԱՆՈՒԹՅՈՒՆՆԵՐԻ, ԽԵՂԱԹՅՈՒՐՈՒՄՆԵՐԻ ՎԵՐԱՑՄԱՆ, ԱՌԱՋԱՐԿՈՒԹՅՈՒՆՆԵՐԻ ԻՐԱԿԱՆԱՑՄԱՆ ԵՎ ԸՆԹԱՑԻԿ ԵԶՐԱԿԱՑՈՒԹՅԱՆԸ ՎԵՐԱԲԵՐՈՂ ԱՅԼ ԳՐԱՎՈՐ ՏԵՂԵԿԱՏՎՈՒԹՅԱՆ </w:t>
      </w:r>
      <w:r w:rsidRPr="00920045">
        <w:rPr>
          <w:lang w:val="hy-AM"/>
        </w:rPr>
        <w:t>ՏՐԱՄԱԴՐՄԱՆ ՁԵՎԱՉԱՓ</w:t>
      </w:r>
    </w:p>
    <w:tbl>
      <w:tblPr>
        <w:tblStyle w:val="1"/>
        <w:tblW w:w="13727" w:type="dxa"/>
        <w:tblLook w:val="04A0" w:firstRow="1" w:lastRow="0" w:firstColumn="1" w:lastColumn="0" w:noHBand="0" w:noVBand="1"/>
      </w:tblPr>
      <w:tblGrid>
        <w:gridCol w:w="465"/>
        <w:gridCol w:w="3499"/>
        <w:gridCol w:w="2281"/>
        <w:gridCol w:w="3291"/>
        <w:gridCol w:w="4191"/>
      </w:tblGrid>
      <w:tr w:rsidR="005D101C" w:rsidRPr="001830F5" w14:paraId="688DB0BB" w14:textId="77777777" w:rsidTr="00F940A3">
        <w:tc>
          <w:tcPr>
            <w:tcW w:w="465" w:type="dxa"/>
            <w:vAlign w:val="center"/>
          </w:tcPr>
          <w:p w14:paraId="65270597" w14:textId="77777777" w:rsidR="005D101C" w:rsidRPr="001830F5" w:rsidRDefault="005D101C" w:rsidP="001830F5">
            <w:pPr>
              <w:spacing w:before="0" w:after="0" w:line="240" w:lineRule="auto"/>
              <w:ind w:firstLine="0"/>
              <w:jc w:val="center"/>
              <w:rPr>
                <w:rFonts w:eastAsiaTheme="minorHAnsi" w:cstheme="minorBidi"/>
                <w:color w:val="000000"/>
                <w:sz w:val="20"/>
                <w:szCs w:val="20"/>
                <w:shd w:val="clear" w:color="auto" w:fill="FFFFFF"/>
                <w:lang w:val="hy-AM"/>
              </w:rPr>
            </w:pPr>
            <w:r w:rsidRPr="001830F5">
              <w:rPr>
                <w:rFonts w:eastAsiaTheme="minorHAnsi" w:cstheme="minorBidi"/>
                <w:b/>
                <w:color w:val="000000"/>
                <w:sz w:val="20"/>
                <w:szCs w:val="20"/>
                <w:shd w:val="clear" w:color="auto" w:fill="FFFFFF"/>
                <w:lang w:val="hy-AM"/>
              </w:rPr>
              <w:t>№</w:t>
            </w:r>
          </w:p>
        </w:tc>
        <w:tc>
          <w:tcPr>
            <w:tcW w:w="3499" w:type="dxa"/>
            <w:vAlign w:val="center"/>
          </w:tcPr>
          <w:p w14:paraId="250E719A" w14:textId="77777777" w:rsidR="005D101C" w:rsidRPr="001830F5" w:rsidRDefault="005D101C" w:rsidP="001830F5">
            <w:pPr>
              <w:spacing w:before="0" w:after="0" w:line="240" w:lineRule="auto"/>
              <w:ind w:firstLine="0"/>
              <w:jc w:val="center"/>
              <w:rPr>
                <w:rFonts w:eastAsiaTheme="minorHAnsi" w:cstheme="minorBidi"/>
                <w:color w:val="000000"/>
                <w:sz w:val="20"/>
                <w:szCs w:val="20"/>
                <w:shd w:val="clear" w:color="auto" w:fill="FFFFFF"/>
                <w:lang w:val="hy-AM"/>
              </w:rPr>
            </w:pPr>
            <w:r w:rsidRPr="001830F5">
              <w:rPr>
                <w:rFonts w:eastAsiaTheme="minorHAnsi" w:cstheme="minorBidi"/>
                <w:b/>
                <w:color w:val="000000"/>
                <w:sz w:val="20"/>
                <w:szCs w:val="20"/>
                <w:shd w:val="clear" w:color="auto" w:fill="FFFFFF"/>
                <w:lang w:val="hy-AM"/>
              </w:rPr>
              <w:t>Առաջարկություն</w:t>
            </w:r>
            <w:r w:rsidRPr="001830F5">
              <w:rPr>
                <w:rFonts w:eastAsiaTheme="minorHAnsi" w:cstheme="minorBidi"/>
                <w:b/>
                <w:color w:val="000000"/>
                <w:sz w:val="20"/>
                <w:szCs w:val="20"/>
                <w:shd w:val="clear" w:color="auto" w:fill="FFFFFF"/>
                <w:vertAlign w:val="superscript"/>
                <w:lang w:val="hy-AM"/>
              </w:rPr>
              <w:footnoteReference w:id="4"/>
            </w:r>
          </w:p>
        </w:tc>
        <w:tc>
          <w:tcPr>
            <w:tcW w:w="2281" w:type="dxa"/>
            <w:vAlign w:val="center"/>
          </w:tcPr>
          <w:p w14:paraId="3628DFE3" w14:textId="77777777" w:rsidR="005D101C" w:rsidRPr="001830F5" w:rsidRDefault="005D101C" w:rsidP="001830F5">
            <w:pPr>
              <w:spacing w:before="0" w:after="0" w:line="240" w:lineRule="auto"/>
              <w:ind w:firstLine="0"/>
              <w:jc w:val="center"/>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t>Ընդունելի է/ Ընդունելի չէ</w:t>
            </w:r>
            <w:r w:rsidRPr="001830F5">
              <w:rPr>
                <w:rFonts w:eastAsiaTheme="minorHAnsi" w:cstheme="minorBidi"/>
                <w:color w:val="000000"/>
                <w:sz w:val="20"/>
                <w:szCs w:val="20"/>
                <w:shd w:val="clear" w:color="auto" w:fill="FFFFFF"/>
                <w:vertAlign w:val="superscript"/>
                <w:lang w:val="hy-AM"/>
              </w:rPr>
              <w:footnoteReference w:id="5"/>
            </w:r>
          </w:p>
        </w:tc>
        <w:tc>
          <w:tcPr>
            <w:tcW w:w="3291" w:type="dxa"/>
          </w:tcPr>
          <w:p w14:paraId="5921D11E" w14:textId="77777777" w:rsidR="005D101C" w:rsidRPr="001830F5" w:rsidRDefault="005D101C" w:rsidP="001830F5">
            <w:pPr>
              <w:spacing w:before="0" w:after="0" w:line="240" w:lineRule="auto"/>
              <w:ind w:firstLine="0"/>
              <w:jc w:val="center"/>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t>Կատարված է/ Ընթացքում է</w:t>
            </w:r>
            <w:r w:rsidRPr="001830F5">
              <w:rPr>
                <w:rFonts w:eastAsiaTheme="minorHAnsi" w:cstheme="minorBidi"/>
                <w:color w:val="000000"/>
                <w:sz w:val="20"/>
                <w:szCs w:val="20"/>
                <w:shd w:val="clear" w:color="auto" w:fill="FFFFFF"/>
                <w:vertAlign w:val="superscript"/>
                <w:lang w:val="hy-AM"/>
              </w:rPr>
              <w:footnoteReference w:id="6"/>
            </w:r>
          </w:p>
        </w:tc>
        <w:tc>
          <w:tcPr>
            <w:tcW w:w="4191" w:type="dxa"/>
            <w:vAlign w:val="center"/>
          </w:tcPr>
          <w:p w14:paraId="01605AF2" w14:textId="77777777" w:rsidR="005D101C" w:rsidRPr="001830F5" w:rsidRDefault="005D101C" w:rsidP="001830F5">
            <w:pPr>
              <w:spacing w:before="0" w:after="0" w:line="240" w:lineRule="auto"/>
              <w:ind w:firstLine="0"/>
              <w:jc w:val="center"/>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t>Հիմնավորումներ</w:t>
            </w:r>
            <w:r w:rsidRPr="001830F5">
              <w:rPr>
                <w:rFonts w:eastAsiaTheme="minorHAnsi" w:cstheme="minorBidi"/>
                <w:color w:val="000000"/>
                <w:sz w:val="20"/>
                <w:szCs w:val="20"/>
                <w:shd w:val="clear" w:color="auto" w:fill="FFFFFF"/>
                <w:vertAlign w:val="superscript"/>
                <w:lang w:val="hy-AM"/>
              </w:rPr>
              <w:footnoteReference w:id="7"/>
            </w:r>
          </w:p>
        </w:tc>
      </w:tr>
      <w:tr w:rsidR="005D101C" w:rsidRPr="00B54092" w14:paraId="18C97C23" w14:textId="77777777" w:rsidTr="00355594">
        <w:tc>
          <w:tcPr>
            <w:tcW w:w="465" w:type="dxa"/>
          </w:tcPr>
          <w:p w14:paraId="1EC1E654" w14:textId="77777777" w:rsidR="005D101C" w:rsidRPr="001830F5" w:rsidRDefault="005D101C" w:rsidP="001830F5">
            <w:pPr>
              <w:spacing w:before="0" w:after="0" w:line="240" w:lineRule="auto"/>
              <w:ind w:firstLine="0"/>
              <w:jc w:val="left"/>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t>1</w:t>
            </w:r>
            <w:r w:rsidRPr="001830F5">
              <w:rPr>
                <w:rFonts w:ascii="Cambria Math" w:eastAsiaTheme="minorHAnsi" w:hAnsi="Cambria Math" w:cs="Cambria Math"/>
                <w:color w:val="000000"/>
                <w:sz w:val="20"/>
                <w:szCs w:val="20"/>
                <w:shd w:val="clear" w:color="auto" w:fill="FFFFFF"/>
                <w:lang w:val="hy-AM"/>
              </w:rPr>
              <w:t>․</w:t>
            </w:r>
          </w:p>
        </w:tc>
        <w:tc>
          <w:tcPr>
            <w:tcW w:w="3499" w:type="dxa"/>
          </w:tcPr>
          <w:p w14:paraId="1FA22AA4" w14:textId="3D03B813" w:rsidR="005D101C" w:rsidRPr="001830F5" w:rsidRDefault="00355594" w:rsidP="001830F5">
            <w:pPr>
              <w:pStyle w:val="ListParagraph"/>
              <w:spacing w:before="0" w:after="0" w:line="276" w:lineRule="auto"/>
              <w:ind w:left="0"/>
              <w:rPr>
                <w:sz w:val="20"/>
                <w:szCs w:val="20"/>
                <w:lang w:val="hy-AM"/>
              </w:rPr>
            </w:pPr>
            <w:r w:rsidRPr="001830F5">
              <w:rPr>
                <w:sz w:val="20"/>
                <w:szCs w:val="20"/>
                <w:lang w:val="hy-AM"/>
              </w:rPr>
              <w:t>ՀՀ աշխատանքային օրենսգրքով սահմանված գիշերային աշխատանքի համար  առանձին կատեգորիաների աշխատողներին հասանելիք հավելումների հաշվարկման և վճարման ուղղությամբ:</w:t>
            </w:r>
          </w:p>
        </w:tc>
        <w:tc>
          <w:tcPr>
            <w:tcW w:w="2281" w:type="dxa"/>
            <w:shd w:val="clear" w:color="auto" w:fill="auto"/>
            <w:vAlign w:val="center"/>
          </w:tcPr>
          <w:p w14:paraId="2B4A90C6" w14:textId="77777777" w:rsidR="005D101C" w:rsidRPr="001830F5" w:rsidRDefault="005D101C" w:rsidP="001830F5">
            <w:pPr>
              <w:pStyle w:val="ListParagraph"/>
              <w:spacing w:before="0" w:after="0" w:line="276" w:lineRule="auto"/>
              <w:ind w:left="0"/>
              <w:jc w:val="center"/>
              <w:rPr>
                <w:sz w:val="20"/>
                <w:szCs w:val="20"/>
                <w:lang w:val="hy-AM"/>
              </w:rPr>
            </w:pPr>
            <w:r w:rsidRPr="001830F5">
              <w:rPr>
                <w:sz w:val="20"/>
                <w:szCs w:val="20"/>
                <w:lang w:val="hy-AM"/>
              </w:rPr>
              <w:t xml:space="preserve">Ընդունելի </w:t>
            </w:r>
            <w:r w:rsidR="00355594" w:rsidRPr="001830F5">
              <w:rPr>
                <w:sz w:val="20"/>
                <w:szCs w:val="20"/>
                <w:lang w:val="hy-AM"/>
              </w:rPr>
              <w:t>է</w:t>
            </w:r>
          </w:p>
        </w:tc>
        <w:tc>
          <w:tcPr>
            <w:tcW w:w="3291" w:type="dxa"/>
            <w:vAlign w:val="center"/>
          </w:tcPr>
          <w:p w14:paraId="66A0C26F" w14:textId="77777777" w:rsidR="005D101C" w:rsidRPr="001830F5" w:rsidRDefault="00355594" w:rsidP="001830F5">
            <w:pPr>
              <w:pStyle w:val="ListParagraph"/>
              <w:spacing w:before="0" w:after="0" w:line="276" w:lineRule="auto"/>
              <w:ind w:left="0"/>
              <w:jc w:val="center"/>
              <w:rPr>
                <w:sz w:val="20"/>
                <w:szCs w:val="20"/>
                <w:lang w:val="hy-AM"/>
              </w:rPr>
            </w:pPr>
            <w:r w:rsidRPr="001830F5">
              <w:rPr>
                <w:sz w:val="20"/>
                <w:szCs w:val="20"/>
                <w:lang w:val="hy-AM"/>
              </w:rPr>
              <w:t>Ընթացքում է</w:t>
            </w:r>
          </w:p>
        </w:tc>
        <w:tc>
          <w:tcPr>
            <w:tcW w:w="4191" w:type="dxa"/>
          </w:tcPr>
          <w:p w14:paraId="4050199B" w14:textId="77777777" w:rsidR="00355594" w:rsidRPr="001830F5" w:rsidRDefault="00355594" w:rsidP="001830F5">
            <w:pPr>
              <w:pStyle w:val="ListParagraph"/>
              <w:spacing w:before="0" w:after="0" w:line="276" w:lineRule="auto"/>
              <w:ind w:left="0"/>
              <w:jc w:val="center"/>
              <w:rPr>
                <w:sz w:val="20"/>
                <w:szCs w:val="20"/>
                <w:lang w:val="hy-AM"/>
              </w:rPr>
            </w:pPr>
            <w:r w:rsidRPr="001830F5">
              <w:rPr>
                <w:sz w:val="20"/>
                <w:szCs w:val="20"/>
                <w:lang w:val="hy-AM"/>
              </w:rPr>
              <w:t>Միջոցներ են ձեռնարկվում իրականացնել օրենսդրական համապատասխան փոփոխություններ (համապատասխան նախագիծը շրջա</w:t>
            </w:r>
            <w:r w:rsidRPr="001830F5">
              <w:rPr>
                <w:sz w:val="20"/>
                <w:szCs w:val="20"/>
                <w:lang w:val="hy-AM"/>
              </w:rPr>
              <w:softHyphen/>
              <w:t>նառվում է):</w:t>
            </w:r>
          </w:p>
          <w:p w14:paraId="5BF31DC2" w14:textId="77777777" w:rsidR="005D101C" w:rsidRPr="001830F5" w:rsidRDefault="005D101C" w:rsidP="001830F5">
            <w:pPr>
              <w:pStyle w:val="ListParagraph"/>
              <w:spacing w:before="0" w:after="0" w:line="276" w:lineRule="auto"/>
              <w:ind w:left="0"/>
              <w:jc w:val="center"/>
              <w:rPr>
                <w:sz w:val="20"/>
                <w:szCs w:val="20"/>
                <w:lang w:val="hy-AM"/>
              </w:rPr>
            </w:pPr>
          </w:p>
        </w:tc>
      </w:tr>
      <w:tr w:rsidR="005D101C" w:rsidRPr="00B54092" w14:paraId="5DBD440D" w14:textId="77777777" w:rsidTr="00F940A3">
        <w:tc>
          <w:tcPr>
            <w:tcW w:w="465" w:type="dxa"/>
          </w:tcPr>
          <w:p w14:paraId="04AC0A55" w14:textId="77777777" w:rsidR="005D101C" w:rsidRPr="001830F5" w:rsidRDefault="005D101C" w:rsidP="001830F5">
            <w:pPr>
              <w:spacing w:before="0" w:after="0" w:line="240" w:lineRule="auto"/>
              <w:ind w:firstLine="0"/>
              <w:jc w:val="left"/>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t>2</w:t>
            </w:r>
            <w:r w:rsidRPr="001830F5">
              <w:rPr>
                <w:rFonts w:ascii="Cambria Math" w:eastAsiaTheme="minorHAnsi" w:hAnsi="Cambria Math" w:cs="Cambria Math"/>
                <w:color w:val="000000"/>
                <w:sz w:val="20"/>
                <w:szCs w:val="20"/>
                <w:shd w:val="clear" w:color="auto" w:fill="FFFFFF"/>
                <w:lang w:val="hy-AM"/>
              </w:rPr>
              <w:t>․</w:t>
            </w:r>
          </w:p>
        </w:tc>
        <w:tc>
          <w:tcPr>
            <w:tcW w:w="3499" w:type="dxa"/>
          </w:tcPr>
          <w:p w14:paraId="57151A85" w14:textId="77777777" w:rsidR="00355594" w:rsidRPr="001830F5" w:rsidRDefault="00355594" w:rsidP="001830F5">
            <w:pPr>
              <w:pStyle w:val="ListParagraph"/>
              <w:spacing w:before="0" w:after="0" w:line="276" w:lineRule="auto"/>
              <w:ind w:left="0"/>
              <w:rPr>
                <w:sz w:val="20"/>
                <w:szCs w:val="20"/>
                <w:lang w:val="hy-AM"/>
              </w:rPr>
            </w:pPr>
            <w:r w:rsidRPr="001830F5">
              <w:rPr>
                <w:sz w:val="20"/>
                <w:szCs w:val="20"/>
                <w:lang w:val="hy-AM"/>
              </w:rPr>
              <w:t xml:space="preserve">Շահագործվող ավտոտրանսպորտային միջոցների վառելիքի փաստացի ծախսը՝ սկզբնական հաշվառման փաստաթղթերում՝ երթուղային </w:t>
            </w:r>
            <w:r w:rsidRPr="001830F5">
              <w:rPr>
                <w:sz w:val="20"/>
                <w:szCs w:val="20"/>
                <w:lang w:val="hy-AM"/>
              </w:rPr>
              <w:lastRenderedPageBreak/>
              <w:t xml:space="preserve">թերթիկներում օրական կամ ամսական վազքի ցուցմունքների հիմա վրա ճանաչելու և ձևակերպելու համար: </w:t>
            </w:r>
          </w:p>
          <w:p w14:paraId="5FA750A2" w14:textId="77777777" w:rsidR="005D101C" w:rsidRPr="001830F5" w:rsidRDefault="005D101C" w:rsidP="001830F5">
            <w:pPr>
              <w:spacing w:before="0" w:after="0" w:line="240" w:lineRule="auto"/>
              <w:ind w:firstLine="0"/>
              <w:jc w:val="left"/>
              <w:rPr>
                <w:rFonts w:eastAsiaTheme="minorHAnsi" w:cstheme="minorBidi"/>
                <w:color w:val="000000"/>
                <w:sz w:val="20"/>
                <w:szCs w:val="20"/>
                <w:shd w:val="clear" w:color="auto" w:fill="FFFFFF"/>
                <w:lang w:val="hy-AM"/>
              </w:rPr>
            </w:pPr>
          </w:p>
        </w:tc>
        <w:tc>
          <w:tcPr>
            <w:tcW w:w="2281" w:type="dxa"/>
            <w:vAlign w:val="center"/>
          </w:tcPr>
          <w:p w14:paraId="30CD3B68" w14:textId="77777777" w:rsidR="005D101C" w:rsidRPr="001830F5" w:rsidRDefault="005D101C" w:rsidP="001830F5">
            <w:pPr>
              <w:pStyle w:val="ListParagraph"/>
              <w:spacing w:before="0" w:after="0" w:line="276" w:lineRule="auto"/>
              <w:ind w:left="0"/>
              <w:jc w:val="center"/>
              <w:rPr>
                <w:sz w:val="20"/>
                <w:szCs w:val="20"/>
                <w:lang w:val="hy-AM"/>
              </w:rPr>
            </w:pPr>
            <w:r w:rsidRPr="001830F5">
              <w:rPr>
                <w:sz w:val="20"/>
                <w:szCs w:val="20"/>
                <w:lang w:val="hy-AM"/>
              </w:rPr>
              <w:lastRenderedPageBreak/>
              <w:t xml:space="preserve">Ընդունելի </w:t>
            </w:r>
            <w:r w:rsidR="00355594" w:rsidRPr="001830F5">
              <w:rPr>
                <w:sz w:val="20"/>
                <w:szCs w:val="20"/>
                <w:lang w:val="hy-AM"/>
              </w:rPr>
              <w:t>չէ</w:t>
            </w:r>
          </w:p>
        </w:tc>
        <w:tc>
          <w:tcPr>
            <w:tcW w:w="3291" w:type="dxa"/>
            <w:vAlign w:val="center"/>
          </w:tcPr>
          <w:p w14:paraId="4C6CD57B" w14:textId="77777777" w:rsidR="005D101C" w:rsidRPr="001830F5" w:rsidRDefault="005D101C" w:rsidP="001830F5">
            <w:pPr>
              <w:pStyle w:val="ListParagraph"/>
              <w:spacing w:before="0" w:after="0" w:line="276" w:lineRule="auto"/>
              <w:ind w:left="0"/>
              <w:rPr>
                <w:sz w:val="20"/>
                <w:szCs w:val="20"/>
                <w:lang w:val="hy-AM"/>
              </w:rPr>
            </w:pPr>
          </w:p>
        </w:tc>
        <w:tc>
          <w:tcPr>
            <w:tcW w:w="4191" w:type="dxa"/>
          </w:tcPr>
          <w:p w14:paraId="06469B37" w14:textId="77777777" w:rsidR="005D101C" w:rsidRPr="001830F5" w:rsidRDefault="00233C35" w:rsidP="001830F5">
            <w:pPr>
              <w:pStyle w:val="ListParagraph"/>
              <w:spacing w:before="0" w:after="0" w:line="276" w:lineRule="auto"/>
              <w:ind w:left="0"/>
              <w:jc w:val="center"/>
              <w:rPr>
                <w:sz w:val="20"/>
                <w:szCs w:val="20"/>
                <w:lang w:val="hy-AM"/>
              </w:rPr>
            </w:pPr>
            <w:r w:rsidRPr="001830F5">
              <w:rPr>
                <w:sz w:val="20"/>
                <w:szCs w:val="20"/>
                <w:lang w:val="hy-AM"/>
              </w:rPr>
              <w:t xml:space="preserve">Կոմիտեն իր աշխատանքների բնականոն գործունեությունն ապահովելու շրջանակներում դիմել է ՀՀ տարածքային կառավարման և ենթակառուցվածքների ու ՀՀ ֆինանսների նախարարություններին </w:t>
            </w:r>
            <w:r w:rsidRPr="001830F5">
              <w:rPr>
                <w:sz w:val="20"/>
                <w:szCs w:val="20"/>
                <w:lang w:val="hy-AM"/>
              </w:rPr>
              <w:lastRenderedPageBreak/>
              <w:t>թվով 30 հատ սպասարկման նպատակով էլեկտրոմոբիլներ ձեռքբերելու համար: Իսկ ինչ վերաբերում է մեքենաների վառելիքի ծախսերի հաշվարկմանը, ապա հայտնում ենք, որ նախատեսվում է (պիլոտային կարգով) թվայնացնել վառելիքի ծախսերի հաշվարկման գործընթացը:</w:t>
            </w:r>
          </w:p>
        </w:tc>
      </w:tr>
      <w:tr w:rsidR="005D101C" w:rsidRPr="00B54092" w14:paraId="645A6B15" w14:textId="77777777" w:rsidTr="00F940A3">
        <w:tc>
          <w:tcPr>
            <w:tcW w:w="465" w:type="dxa"/>
          </w:tcPr>
          <w:p w14:paraId="40E893F8" w14:textId="77777777" w:rsidR="005D101C" w:rsidRPr="001830F5" w:rsidRDefault="005D101C" w:rsidP="001830F5">
            <w:pPr>
              <w:spacing w:before="0" w:after="0" w:line="240" w:lineRule="auto"/>
              <w:ind w:firstLine="0"/>
              <w:jc w:val="left"/>
              <w:rPr>
                <w:rFonts w:eastAsiaTheme="minorHAnsi" w:cstheme="minorBidi"/>
                <w:color w:val="000000"/>
                <w:sz w:val="20"/>
                <w:szCs w:val="20"/>
                <w:shd w:val="clear" w:color="auto" w:fill="FFFFFF"/>
                <w:lang w:val="hy-AM"/>
              </w:rPr>
            </w:pPr>
            <w:r w:rsidRPr="001830F5">
              <w:rPr>
                <w:rFonts w:eastAsiaTheme="minorHAnsi" w:cstheme="minorBidi"/>
                <w:color w:val="000000"/>
                <w:sz w:val="20"/>
                <w:szCs w:val="20"/>
                <w:shd w:val="clear" w:color="auto" w:fill="FFFFFF"/>
                <w:lang w:val="hy-AM"/>
              </w:rPr>
              <w:lastRenderedPageBreak/>
              <w:t>3</w:t>
            </w:r>
            <w:r w:rsidRPr="001830F5">
              <w:rPr>
                <w:rFonts w:ascii="Cambria Math" w:eastAsiaTheme="minorHAnsi" w:hAnsi="Cambria Math" w:cs="Cambria Math"/>
                <w:color w:val="000000"/>
                <w:sz w:val="20"/>
                <w:szCs w:val="20"/>
                <w:shd w:val="clear" w:color="auto" w:fill="FFFFFF"/>
                <w:lang w:val="hy-AM"/>
              </w:rPr>
              <w:t>․</w:t>
            </w:r>
          </w:p>
        </w:tc>
        <w:tc>
          <w:tcPr>
            <w:tcW w:w="3499" w:type="dxa"/>
          </w:tcPr>
          <w:p w14:paraId="3581647D" w14:textId="1E392AF6" w:rsidR="005D101C" w:rsidRPr="001830F5" w:rsidRDefault="00355594" w:rsidP="001830F5">
            <w:pPr>
              <w:pStyle w:val="ListParagraph"/>
              <w:spacing w:before="0" w:after="0" w:line="276" w:lineRule="auto"/>
              <w:ind w:left="0"/>
              <w:rPr>
                <w:sz w:val="20"/>
                <w:szCs w:val="20"/>
                <w:lang w:val="hy-AM"/>
              </w:rPr>
            </w:pPr>
            <w:r w:rsidRPr="001830F5">
              <w:rPr>
                <w:sz w:val="20"/>
                <w:szCs w:val="20"/>
                <w:lang w:val="hy-AM"/>
              </w:rPr>
              <w:t>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որոշմամբ հաստատված հավելված 1-ի 8-րդ կետով սահմանված կարգը հարկային մարմնի ղեկավարի հրամանի հաստատելու ուղղությամբ</w:t>
            </w:r>
            <w:r w:rsidR="001830F5" w:rsidRPr="001830F5">
              <w:rPr>
                <w:sz w:val="20"/>
                <w:szCs w:val="20"/>
                <w:lang w:val="hy-AM"/>
              </w:rPr>
              <w:t>:</w:t>
            </w:r>
          </w:p>
        </w:tc>
        <w:tc>
          <w:tcPr>
            <w:tcW w:w="2281" w:type="dxa"/>
            <w:vAlign w:val="center"/>
          </w:tcPr>
          <w:p w14:paraId="3FF8EF9E" w14:textId="77777777" w:rsidR="005D101C" w:rsidRPr="001830F5" w:rsidRDefault="005D101C" w:rsidP="001830F5">
            <w:pPr>
              <w:spacing w:before="0" w:after="0" w:line="240" w:lineRule="auto"/>
              <w:ind w:firstLine="0"/>
              <w:contextualSpacing/>
              <w:jc w:val="center"/>
              <w:rPr>
                <w:rFonts w:eastAsia="Calibri"/>
                <w:sz w:val="20"/>
                <w:szCs w:val="20"/>
                <w:lang w:val="hy-AM"/>
              </w:rPr>
            </w:pPr>
            <w:r w:rsidRPr="001830F5">
              <w:rPr>
                <w:rFonts w:eastAsia="Calibri"/>
                <w:sz w:val="20"/>
                <w:szCs w:val="20"/>
                <w:lang w:val="hy-AM"/>
              </w:rPr>
              <w:t>Ընդունելի է</w:t>
            </w:r>
          </w:p>
        </w:tc>
        <w:tc>
          <w:tcPr>
            <w:tcW w:w="3291" w:type="dxa"/>
            <w:vAlign w:val="center"/>
          </w:tcPr>
          <w:p w14:paraId="4C0D62EE" w14:textId="77777777" w:rsidR="005D101C" w:rsidRPr="001830F5" w:rsidRDefault="005D101C" w:rsidP="001830F5">
            <w:pPr>
              <w:spacing w:before="0" w:after="0" w:line="240" w:lineRule="auto"/>
              <w:ind w:firstLine="0"/>
              <w:contextualSpacing/>
              <w:jc w:val="center"/>
              <w:rPr>
                <w:rFonts w:eastAsia="Calibri"/>
                <w:sz w:val="20"/>
                <w:szCs w:val="20"/>
                <w:lang w:val="hy-AM"/>
              </w:rPr>
            </w:pPr>
            <w:r w:rsidRPr="001830F5">
              <w:rPr>
                <w:rFonts w:eastAsia="Calibri"/>
                <w:sz w:val="20"/>
                <w:szCs w:val="20"/>
                <w:lang w:val="hy-AM"/>
              </w:rPr>
              <w:t>Ընթացքում է</w:t>
            </w:r>
          </w:p>
        </w:tc>
        <w:tc>
          <w:tcPr>
            <w:tcW w:w="4191" w:type="dxa"/>
          </w:tcPr>
          <w:p w14:paraId="389918D5" w14:textId="77777777" w:rsidR="005D101C" w:rsidRPr="001830F5" w:rsidRDefault="00726488" w:rsidP="001830F5">
            <w:pPr>
              <w:pStyle w:val="ListParagraph"/>
              <w:spacing w:before="0" w:after="0" w:line="276" w:lineRule="auto"/>
              <w:ind w:left="0"/>
              <w:jc w:val="center"/>
              <w:rPr>
                <w:rFonts w:eastAsiaTheme="minorHAnsi" w:cstheme="minorBidi"/>
                <w:color w:val="000000"/>
                <w:sz w:val="20"/>
                <w:szCs w:val="20"/>
                <w:shd w:val="clear" w:color="auto" w:fill="FFFFFF"/>
                <w:lang w:val="hy-AM"/>
              </w:rPr>
            </w:pPr>
            <w:r w:rsidRPr="001830F5">
              <w:rPr>
                <w:sz w:val="20"/>
                <w:szCs w:val="20"/>
                <w:lang w:val="hy-AM"/>
              </w:rPr>
              <w:t>Կոմիտեն միջոցներ է ձեռնարկել պաշտոնատար անձի կողմից հսկիչ գնմամբ ձեռք բերված շուտ փչացող ապրանքների տնօրինման կարգ հաստատելու գործընթացում և Կոմիտեի նախագահի համապատասխան հրամանի նախագիծը դրել է ներքին փաստաթղթաշրջանառության, հետագայում հաստատելու նպատակով:</w:t>
            </w:r>
          </w:p>
        </w:tc>
      </w:tr>
      <w:tr w:rsidR="00726488" w:rsidRPr="00B54092" w14:paraId="562D6D8A" w14:textId="77777777" w:rsidTr="00F940A3">
        <w:tc>
          <w:tcPr>
            <w:tcW w:w="465" w:type="dxa"/>
          </w:tcPr>
          <w:p w14:paraId="7BCAFE4F" w14:textId="77777777" w:rsidR="00726488" w:rsidRPr="001830F5" w:rsidRDefault="00726488" w:rsidP="001830F5">
            <w:pPr>
              <w:spacing w:before="0" w:after="0" w:line="240" w:lineRule="auto"/>
              <w:ind w:firstLine="0"/>
              <w:jc w:val="left"/>
              <w:rPr>
                <w:rFonts w:eastAsiaTheme="minorHAnsi" w:cstheme="minorBidi"/>
                <w:color w:val="000000"/>
                <w:sz w:val="20"/>
                <w:szCs w:val="20"/>
                <w:shd w:val="clear" w:color="auto" w:fill="FFFFFF"/>
              </w:rPr>
            </w:pPr>
            <w:r w:rsidRPr="001830F5">
              <w:rPr>
                <w:rFonts w:eastAsiaTheme="minorHAnsi" w:cstheme="minorBidi"/>
                <w:color w:val="000000"/>
                <w:sz w:val="20"/>
                <w:szCs w:val="20"/>
                <w:shd w:val="clear" w:color="auto" w:fill="FFFFFF"/>
              </w:rPr>
              <w:t>4</w:t>
            </w:r>
          </w:p>
        </w:tc>
        <w:tc>
          <w:tcPr>
            <w:tcW w:w="3499" w:type="dxa"/>
          </w:tcPr>
          <w:p w14:paraId="358B1C4E" w14:textId="5EA08154" w:rsidR="00726488" w:rsidRPr="001830F5" w:rsidRDefault="00726488" w:rsidP="001830F5">
            <w:pPr>
              <w:pStyle w:val="ListParagraph"/>
              <w:spacing w:before="0" w:after="0" w:line="276" w:lineRule="auto"/>
              <w:ind w:left="0"/>
              <w:rPr>
                <w:sz w:val="20"/>
                <w:szCs w:val="20"/>
              </w:rPr>
            </w:pPr>
            <w:r w:rsidRPr="001830F5">
              <w:rPr>
                <w:sz w:val="20"/>
                <w:szCs w:val="20"/>
                <w:lang w:val="hy-AM"/>
              </w:rPr>
              <w:t xml:space="preserve">Ռենտգենյան զննող սարքավորումների տեխնիկական սպասարկման ծառայությունների ձեռքբերման ծախսերը  512900 Այլ մեքենաներ և սարքավորումներ </w:t>
            </w:r>
            <w:r w:rsidRPr="001830F5">
              <w:rPr>
                <w:sz w:val="20"/>
                <w:szCs w:val="20"/>
                <w:lang w:val="hy-AM"/>
              </w:rPr>
              <w:lastRenderedPageBreak/>
              <w:t>տնտեսագիտական դասակարգման հոդվածի փոխարեն 425200 Ընթացիկ նորոգում և պահպանում տնտեսագիտական դասակարգման հոդվածով նախատեսելու և հաշվեքննությունն ընդգրկող ժամանակաշրջանի հաշվետվությամբ արտացոլելու ուղությամբ</w:t>
            </w:r>
            <w:r w:rsidR="001830F5">
              <w:rPr>
                <w:sz w:val="20"/>
                <w:szCs w:val="20"/>
              </w:rPr>
              <w:t>:</w:t>
            </w:r>
          </w:p>
        </w:tc>
        <w:tc>
          <w:tcPr>
            <w:tcW w:w="2281" w:type="dxa"/>
            <w:vAlign w:val="center"/>
          </w:tcPr>
          <w:p w14:paraId="34C99CB3" w14:textId="77777777" w:rsidR="00726488" w:rsidRPr="001830F5" w:rsidRDefault="00726488" w:rsidP="001830F5">
            <w:pPr>
              <w:spacing w:before="0" w:after="0" w:line="240" w:lineRule="auto"/>
              <w:ind w:firstLine="0"/>
              <w:contextualSpacing/>
              <w:jc w:val="center"/>
              <w:rPr>
                <w:rFonts w:eastAsia="Calibri"/>
                <w:sz w:val="20"/>
                <w:szCs w:val="20"/>
                <w:lang w:val="hy-AM"/>
              </w:rPr>
            </w:pPr>
            <w:r w:rsidRPr="001830F5">
              <w:rPr>
                <w:rFonts w:eastAsia="Calibri"/>
                <w:sz w:val="20"/>
                <w:szCs w:val="20"/>
                <w:lang w:val="hy-AM"/>
              </w:rPr>
              <w:lastRenderedPageBreak/>
              <w:t>Ընդունելի է</w:t>
            </w:r>
          </w:p>
        </w:tc>
        <w:tc>
          <w:tcPr>
            <w:tcW w:w="3291" w:type="dxa"/>
            <w:vAlign w:val="center"/>
          </w:tcPr>
          <w:p w14:paraId="358D59FE" w14:textId="77777777" w:rsidR="00726488" w:rsidRPr="001830F5" w:rsidRDefault="00726488" w:rsidP="001830F5">
            <w:pPr>
              <w:spacing w:before="0" w:after="0" w:line="240" w:lineRule="auto"/>
              <w:ind w:firstLine="0"/>
              <w:contextualSpacing/>
              <w:jc w:val="center"/>
              <w:rPr>
                <w:rFonts w:eastAsia="Calibri"/>
                <w:sz w:val="20"/>
                <w:szCs w:val="20"/>
                <w:lang w:val="hy-AM"/>
              </w:rPr>
            </w:pPr>
            <w:r w:rsidRPr="001830F5">
              <w:rPr>
                <w:rFonts w:eastAsia="Calibri"/>
                <w:sz w:val="20"/>
                <w:szCs w:val="20"/>
                <w:lang w:val="hy-AM"/>
              </w:rPr>
              <w:t>Ընթացքում է</w:t>
            </w:r>
          </w:p>
        </w:tc>
        <w:tc>
          <w:tcPr>
            <w:tcW w:w="4191" w:type="dxa"/>
          </w:tcPr>
          <w:p w14:paraId="0AC22C62" w14:textId="77777777" w:rsidR="00726488" w:rsidRPr="001830F5" w:rsidRDefault="00726488" w:rsidP="001830F5">
            <w:pPr>
              <w:pStyle w:val="ListParagraph"/>
              <w:spacing w:before="0" w:after="0" w:line="276" w:lineRule="auto"/>
              <w:ind w:left="0"/>
              <w:jc w:val="center"/>
              <w:rPr>
                <w:sz w:val="20"/>
                <w:szCs w:val="20"/>
                <w:lang w:val="hy-AM"/>
              </w:rPr>
            </w:pPr>
            <w:r w:rsidRPr="001830F5">
              <w:rPr>
                <w:sz w:val="20"/>
                <w:szCs w:val="20"/>
                <w:lang w:val="hy-AM"/>
              </w:rPr>
              <w:t>Կոմիտեն հաշվեքննողի կողմից ներկայացված մեկնաբանությունը` ռենտգեն զննող սարքա¬վորումների սպասարկման ծախսերի վերաբաշխման հետ կապված, ընդունել է ի գիտություն:</w:t>
            </w:r>
          </w:p>
        </w:tc>
      </w:tr>
    </w:tbl>
    <w:p w14:paraId="27D01AFB" w14:textId="77777777" w:rsidR="005D101C" w:rsidRPr="00920045" w:rsidRDefault="005D101C" w:rsidP="005D101C">
      <w:pPr>
        <w:jc w:val="center"/>
        <w:rPr>
          <w:lang w:val="hy-AM"/>
        </w:rPr>
      </w:pPr>
    </w:p>
    <w:p w14:paraId="75A7CC79" w14:textId="77777777" w:rsidR="005D101C" w:rsidRPr="00920045" w:rsidRDefault="005D101C" w:rsidP="005D101C">
      <w:pPr>
        <w:jc w:val="center"/>
        <w:rPr>
          <w:lang w:val="hy-AM"/>
        </w:rPr>
      </w:pPr>
    </w:p>
    <w:p w14:paraId="415C2E20" w14:textId="77777777" w:rsidR="005D101C" w:rsidRPr="00920045" w:rsidRDefault="005D101C" w:rsidP="005D101C">
      <w:pPr>
        <w:jc w:val="center"/>
        <w:rPr>
          <w:lang w:val="hy-AM"/>
        </w:rPr>
      </w:pPr>
    </w:p>
    <w:tbl>
      <w:tblPr>
        <w:tblStyle w:val="TableGrid2"/>
        <w:tblW w:w="13609" w:type="dxa"/>
        <w:tblInd w:w="-431" w:type="dxa"/>
        <w:tblLook w:val="04A0" w:firstRow="1" w:lastRow="0" w:firstColumn="1" w:lastColumn="0" w:noHBand="0" w:noVBand="1"/>
      </w:tblPr>
      <w:tblGrid>
        <w:gridCol w:w="630"/>
        <w:gridCol w:w="6884"/>
        <w:gridCol w:w="1462"/>
        <w:gridCol w:w="4633"/>
      </w:tblGrid>
      <w:tr w:rsidR="005D101C" w:rsidRPr="00920045" w14:paraId="476A865B" w14:textId="77777777" w:rsidTr="00363E9B">
        <w:tc>
          <w:tcPr>
            <w:tcW w:w="630" w:type="dxa"/>
            <w:vAlign w:val="center"/>
          </w:tcPr>
          <w:p w14:paraId="08625852" w14:textId="77777777" w:rsidR="005D101C" w:rsidRPr="00920045"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r w:rsidRPr="00920045">
              <w:rPr>
                <w:rFonts w:eastAsiaTheme="minorHAnsi" w:cstheme="minorBidi"/>
                <w:b/>
                <w:color w:val="000000"/>
                <w:sz w:val="20"/>
                <w:szCs w:val="20"/>
                <w:shd w:val="clear" w:color="auto" w:fill="FFFFFF"/>
                <w:lang w:val="hy-AM"/>
              </w:rPr>
              <w:t>№</w:t>
            </w:r>
          </w:p>
        </w:tc>
        <w:tc>
          <w:tcPr>
            <w:tcW w:w="6884" w:type="dxa"/>
            <w:vAlign w:val="center"/>
          </w:tcPr>
          <w:p w14:paraId="3FE2FB56" w14:textId="77777777" w:rsidR="005D101C" w:rsidRPr="00920045"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r w:rsidRPr="00920045">
              <w:rPr>
                <w:rFonts w:eastAsiaTheme="minorHAnsi" w:cstheme="minorBidi"/>
                <w:b/>
                <w:color w:val="000000"/>
                <w:sz w:val="20"/>
                <w:szCs w:val="20"/>
                <w:shd w:val="clear" w:color="auto" w:fill="FFFFFF"/>
                <w:lang w:val="hy-AM"/>
              </w:rPr>
              <w:t>Անհամապատասխանություն/ խեղաթյուրում</w:t>
            </w:r>
            <w:r w:rsidRPr="00920045">
              <w:rPr>
                <w:rFonts w:eastAsiaTheme="minorHAnsi" w:cstheme="minorBidi"/>
                <w:b/>
                <w:color w:val="000000"/>
                <w:sz w:val="20"/>
                <w:szCs w:val="20"/>
                <w:shd w:val="clear" w:color="auto" w:fill="FFFFFF"/>
                <w:vertAlign w:val="superscript"/>
                <w:lang w:val="hy-AM"/>
              </w:rPr>
              <w:footnoteReference w:id="8"/>
            </w:r>
          </w:p>
        </w:tc>
        <w:tc>
          <w:tcPr>
            <w:tcW w:w="1462" w:type="dxa"/>
            <w:vAlign w:val="center"/>
          </w:tcPr>
          <w:p w14:paraId="01D0D8E7" w14:textId="77777777" w:rsidR="005D101C" w:rsidRPr="00920045"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r w:rsidRPr="00920045">
              <w:rPr>
                <w:rFonts w:eastAsiaTheme="minorHAnsi" w:cstheme="minorBidi"/>
                <w:color w:val="000000"/>
                <w:sz w:val="20"/>
                <w:szCs w:val="20"/>
                <w:shd w:val="clear" w:color="auto" w:fill="FFFFFF"/>
                <w:lang w:val="hy-AM"/>
              </w:rPr>
              <w:t>Վերացված է/ վերացված չէ/ ընթացքում է</w:t>
            </w:r>
            <w:r w:rsidRPr="00920045">
              <w:rPr>
                <w:rFonts w:eastAsiaTheme="minorHAnsi" w:cstheme="minorBidi"/>
                <w:color w:val="000000"/>
                <w:sz w:val="20"/>
                <w:szCs w:val="20"/>
                <w:shd w:val="clear" w:color="auto" w:fill="FFFFFF"/>
                <w:vertAlign w:val="superscript"/>
                <w:lang w:val="hy-AM"/>
              </w:rPr>
              <w:footnoteReference w:id="9"/>
            </w:r>
          </w:p>
        </w:tc>
        <w:tc>
          <w:tcPr>
            <w:tcW w:w="4633" w:type="dxa"/>
            <w:vAlign w:val="center"/>
          </w:tcPr>
          <w:p w14:paraId="441DD469" w14:textId="77777777" w:rsidR="005D101C" w:rsidRPr="00920045"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r w:rsidRPr="00920045">
              <w:rPr>
                <w:rFonts w:eastAsiaTheme="minorHAnsi" w:cstheme="minorBidi"/>
                <w:color w:val="000000"/>
                <w:sz w:val="20"/>
                <w:szCs w:val="20"/>
                <w:shd w:val="clear" w:color="auto" w:fill="FFFFFF"/>
                <w:lang w:val="hy-AM"/>
              </w:rPr>
              <w:t>Ծանոթություններ</w:t>
            </w:r>
            <w:r w:rsidRPr="00920045">
              <w:rPr>
                <w:rFonts w:eastAsiaTheme="minorHAnsi" w:cstheme="minorBidi"/>
                <w:color w:val="000000"/>
                <w:sz w:val="20"/>
                <w:szCs w:val="20"/>
                <w:shd w:val="clear" w:color="auto" w:fill="FFFFFF"/>
                <w:vertAlign w:val="superscript"/>
                <w:lang w:val="hy-AM"/>
              </w:rPr>
              <w:footnoteReference w:id="10"/>
            </w:r>
          </w:p>
        </w:tc>
      </w:tr>
      <w:tr w:rsidR="005D101C" w:rsidRPr="002E2077" w14:paraId="1C9A04D5" w14:textId="77777777" w:rsidTr="00363E9B">
        <w:trPr>
          <w:trHeight w:val="561"/>
        </w:trPr>
        <w:tc>
          <w:tcPr>
            <w:tcW w:w="13609" w:type="dxa"/>
            <w:gridSpan w:val="4"/>
          </w:tcPr>
          <w:p w14:paraId="5CB1231B" w14:textId="58F32D62" w:rsidR="005D101C" w:rsidRPr="002E2077" w:rsidRDefault="001242A6" w:rsidP="00F153EE">
            <w:pPr>
              <w:keepNext/>
              <w:keepLines/>
              <w:spacing w:before="240" w:after="0" w:line="240" w:lineRule="auto"/>
              <w:jc w:val="center"/>
              <w:outlineLvl w:val="0"/>
              <w:rPr>
                <w:rFonts w:eastAsiaTheme="majorEastAsia" w:cstheme="majorBidi"/>
                <w:b/>
                <w:sz w:val="20"/>
                <w:szCs w:val="28"/>
                <w:lang w:val="hy-AM"/>
              </w:rPr>
            </w:pPr>
            <w:bookmarkStart w:id="35" w:name="_Toc148712962"/>
            <w:bookmarkStart w:id="36" w:name="_Toc157592675"/>
            <w:bookmarkStart w:id="37" w:name="_Toc164676879"/>
            <w:r w:rsidRPr="00920045">
              <w:rPr>
                <w:rFonts w:eastAsiaTheme="majorEastAsia" w:cstheme="majorBidi"/>
                <w:b/>
                <w:sz w:val="20"/>
                <w:szCs w:val="28"/>
              </w:rPr>
              <w:lastRenderedPageBreak/>
              <w:t>1.</w:t>
            </w:r>
            <w:r w:rsidR="005D101C" w:rsidRPr="00920045">
              <w:rPr>
                <w:rFonts w:eastAsiaTheme="majorEastAsia" w:cstheme="majorBidi"/>
                <w:b/>
                <w:sz w:val="20"/>
                <w:szCs w:val="28"/>
                <w:lang w:val="hy-AM"/>
              </w:rPr>
              <w:t>1023-31001 «ՊԵԿ-ի տեխնիկական հագեցվածության բարելավում» միջոցառման</w:t>
            </w:r>
            <w:r w:rsidR="00F153EE" w:rsidRPr="00920045">
              <w:rPr>
                <w:rFonts w:eastAsiaTheme="majorEastAsia" w:cstheme="majorBidi"/>
                <w:b/>
                <w:sz w:val="20"/>
                <w:szCs w:val="28"/>
                <w:lang w:val="hy-AM"/>
              </w:rPr>
              <w:t xml:space="preserve"> </w:t>
            </w:r>
            <w:r w:rsidR="005D101C" w:rsidRPr="00920045">
              <w:rPr>
                <w:rFonts w:eastAsiaTheme="majorEastAsia" w:cstheme="majorBidi"/>
                <w:b/>
                <w:sz w:val="20"/>
                <w:szCs w:val="28"/>
                <w:lang w:val="hy-AM"/>
              </w:rPr>
              <w:t>512900 «Այլ մեքենաներ և սարքավորումներ» տնտեսագիտական դասակարգման հոդվածով կատարված ծախսերի վերաբերյալ</w:t>
            </w:r>
            <w:bookmarkEnd w:id="35"/>
            <w:bookmarkEnd w:id="36"/>
            <w:bookmarkEnd w:id="37"/>
          </w:p>
          <w:p w14:paraId="129C98AE" w14:textId="77777777" w:rsidR="005D101C" w:rsidRPr="002E2077" w:rsidRDefault="005D101C" w:rsidP="00F940A3">
            <w:pPr>
              <w:spacing w:after="0" w:line="240" w:lineRule="auto"/>
              <w:ind w:firstLine="440"/>
              <w:jc w:val="center"/>
              <w:rPr>
                <w:b/>
                <w:lang w:val="hy-AM"/>
              </w:rPr>
            </w:pPr>
          </w:p>
        </w:tc>
      </w:tr>
      <w:tr w:rsidR="005D101C" w:rsidRPr="00B54092" w14:paraId="2CB2E6A8" w14:textId="77777777" w:rsidTr="00363E9B">
        <w:trPr>
          <w:trHeight w:val="767"/>
        </w:trPr>
        <w:tc>
          <w:tcPr>
            <w:tcW w:w="630" w:type="dxa"/>
          </w:tcPr>
          <w:p w14:paraId="5BB82D01" w14:textId="77777777" w:rsidR="005D101C" w:rsidRPr="002E2077" w:rsidRDefault="005D101C" w:rsidP="00F940A3">
            <w:pPr>
              <w:spacing w:after="0" w:line="240" w:lineRule="auto"/>
              <w:ind w:firstLine="0"/>
              <w:rPr>
                <w:rFonts w:cs="Sylfaen"/>
                <w:b/>
                <w:i/>
                <w:color w:val="000000" w:themeColor="text1"/>
                <w:sz w:val="20"/>
                <w:szCs w:val="20"/>
                <w:lang w:val="hy-AM"/>
              </w:rPr>
            </w:pPr>
            <w:r w:rsidRPr="002E2077">
              <w:rPr>
                <w:rFonts w:cs="Sylfaen"/>
                <w:b/>
                <w:i/>
                <w:color w:val="000000" w:themeColor="text1"/>
                <w:sz w:val="20"/>
                <w:szCs w:val="20"/>
                <w:lang w:val="hy-AM"/>
              </w:rPr>
              <w:t>1</w:t>
            </w:r>
          </w:p>
        </w:tc>
        <w:tc>
          <w:tcPr>
            <w:tcW w:w="6884" w:type="dxa"/>
          </w:tcPr>
          <w:p w14:paraId="43A36019" w14:textId="77777777" w:rsidR="001242A6" w:rsidRPr="002E2077" w:rsidRDefault="005D101C" w:rsidP="001242A6">
            <w:pPr>
              <w:spacing w:before="0" w:after="0"/>
              <w:ind w:firstLine="720"/>
              <w:rPr>
                <w:rFonts w:cs="Sylfaen"/>
                <w:b/>
                <w:bCs/>
                <w:i/>
                <w:color w:val="000000" w:themeColor="text1"/>
                <w:sz w:val="20"/>
                <w:szCs w:val="24"/>
                <w:lang w:val="hy-AM"/>
              </w:rPr>
            </w:pPr>
            <w:r w:rsidRPr="002E2077">
              <w:rPr>
                <w:rFonts w:cs="Sylfaen"/>
                <w:b/>
                <w:i/>
                <w:color w:val="000000" w:themeColor="text1"/>
                <w:sz w:val="20"/>
                <w:szCs w:val="24"/>
                <w:lang w:val="hy-AM"/>
              </w:rPr>
              <w:t>Առկա է անհամապատախանություն  Ֆինանսների և Էկոնոմիկայի նախարարի </w:t>
            </w:r>
            <w:r w:rsidRPr="002E2077">
              <w:rPr>
                <w:rFonts w:cs="Sylfaen"/>
                <w:b/>
                <w:bCs/>
                <w:i/>
                <w:color w:val="000000" w:themeColor="text1"/>
                <w:sz w:val="20"/>
                <w:szCs w:val="24"/>
                <w:lang w:val="hy-AM"/>
              </w:rPr>
              <w:t xml:space="preserve">Հայաստանի Հանրապետության բյուջետային ու հանրային հատվածի հաշվապահական հաշվառման դասակարգումները և դրանց կիրառման ցուցումները հաստատելու մասին 2007 թվականի հունվարի </w:t>
            </w:r>
            <w:r w:rsidR="001242A6" w:rsidRPr="002E2077">
              <w:rPr>
                <w:rFonts w:cs="Sylfaen"/>
                <w:b/>
                <w:bCs/>
                <w:i/>
                <w:color w:val="000000" w:themeColor="text1"/>
                <w:sz w:val="20"/>
                <w:szCs w:val="24"/>
                <w:lang w:val="hy-AM"/>
              </w:rPr>
              <w:t xml:space="preserve">5-Ն հրամանի № 16 հավելվածով սահմանված պահանջների նկատմամբ: </w:t>
            </w:r>
          </w:p>
          <w:p w14:paraId="6DAA65A9" w14:textId="77777777" w:rsidR="005D101C" w:rsidRPr="002E2077" w:rsidRDefault="001242A6" w:rsidP="001242A6">
            <w:pPr>
              <w:spacing w:before="0" w:after="0" w:line="240" w:lineRule="auto"/>
              <w:ind w:firstLine="720"/>
              <w:rPr>
                <w:rFonts w:cs="Sylfaen"/>
                <w:b/>
                <w:bCs/>
                <w:i/>
                <w:color w:val="000000" w:themeColor="text1"/>
                <w:sz w:val="20"/>
                <w:szCs w:val="20"/>
                <w:lang w:val="hy-AM"/>
              </w:rPr>
            </w:pPr>
            <w:r w:rsidRPr="002E2077">
              <w:rPr>
                <w:rFonts w:cs="Sylfaen"/>
                <w:b/>
                <w:i/>
                <w:color w:val="000000" w:themeColor="text1"/>
                <w:sz w:val="20"/>
                <w:szCs w:val="20"/>
                <w:lang w:val="hy-AM"/>
              </w:rPr>
              <w:t>Առկա է խեղաթյուրում 512900 Այլ մեքենաներ և սարքավորումներ և 425200 Ընթացիկ նորոգում և պահպանում տնտեսագիտական դասակարգման հոդվածներով  կատարված ծախսերի մասով՝ 452,225.63 հազ.դրամ գումարի չափով:</w:t>
            </w:r>
          </w:p>
        </w:tc>
        <w:tc>
          <w:tcPr>
            <w:tcW w:w="1462" w:type="dxa"/>
            <w:shd w:val="clear" w:color="auto" w:fill="auto"/>
            <w:vAlign w:val="center"/>
          </w:tcPr>
          <w:p w14:paraId="3D0B08A5" w14:textId="77777777" w:rsidR="005D101C" w:rsidRPr="002E2077"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p>
          <w:p w14:paraId="6B576C58" w14:textId="77777777" w:rsidR="005D101C" w:rsidRPr="002E2077"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p>
          <w:p w14:paraId="13E453F9" w14:textId="77777777" w:rsidR="005D101C" w:rsidRPr="002E2077" w:rsidRDefault="005D101C" w:rsidP="00F940A3">
            <w:pPr>
              <w:spacing w:before="0" w:after="0" w:line="240" w:lineRule="auto"/>
              <w:ind w:firstLine="567"/>
              <w:rPr>
                <w:rFonts w:cs="Sylfaen"/>
                <w:color w:val="000000" w:themeColor="text1"/>
                <w:sz w:val="20"/>
                <w:szCs w:val="20"/>
                <w:lang w:val="hy-AM"/>
              </w:rPr>
            </w:pPr>
          </w:p>
          <w:p w14:paraId="39762F6E" w14:textId="77777777" w:rsidR="005D101C" w:rsidRPr="002E2077" w:rsidRDefault="005D101C" w:rsidP="00F940A3">
            <w:pPr>
              <w:spacing w:before="0" w:after="0" w:line="240" w:lineRule="auto"/>
              <w:ind w:firstLine="0"/>
              <w:jc w:val="center"/>
              <w:rPr>
                <w:rFonts w:eastAsiaTheme="minorHAnsi" w:cstheme="minorBidi"/>
                <w:color w:val="000000"/>
                <w:sz w:val="20"/>
                <w:szCs w:val="20"/>
                <w:shd w:val="clear" w:color="auto" w:fill="FFFFFF"/>
                <w:lang w:val="hy-AM"/>
              </w:rPr>
            </w:pPr>
            <w:r w:rsidRPr="002E2077">
              <w:rPr>
                <w:rFonts w:cs="Sylfaen"/>
                <w:color w:val="000000" w:themeColor="text1"/>
                <w:sz w:val="20"/>
                <w:szCs w:val="20"/>
                <w:lang w:val="hy-AM"/>
              </w:rPr>
              <w:t>Վերացված չէ</w:t>
            </w:r>
          </w:p>
        </w:tc>
        <w:tc>
          <w:tcPr>
            <w:tcW w:w="4633" w:type="dxa"/>
            <w:shd w:val="clear" w:color="auto" w:fill="auto"/>
          </w:tcPr>
          <w:p w14:paraId="06065CBE" w14:textId="77777777" w:rsidR="001242A6" w:rsidRPr="002E2077" w:rsidRDefault="001242A6" w:rsidP="001242A6">
            <w:pPr>
              <w:spacing w:after="0" w:line="240" w:lineRule="auto"/>
              <w:ind w:firstLine="567"/>
              <w:rPr>
                <w:sz w:val="20"/>
                <w:szCs w:val="20"/>
                <w:lang w:val="hy-AM"/>
              </w:rPr>
            </w:pPr>
            <w:r w:rsidRPr="002E2077">
              <w:rPr>
                <w:sz w:val="20"/>
                <w:szCs w:val="20"/>
                <w:lang w:val="hy-AM"/>
              </w:rPr>
              <w:t>Կոմիտեն հաշվեքննողի կողմից ներկայացված մեկնաբանությունը` ռենտգեն զննող սարքա</w:t>
            </w:r>
            <w:r w:rsidRPr="002E2077">
              <w:rPr>
                <w:sz w:val="20"/>
                <w:szCs w:val="20"/>
                <w:lang w:val="hy-AM"/>
              </w:rPr>
              <w:softHyphen/>
              <w:t>վորումների սպասարկման ծախսերի վերաբաշխման հետ կապված, ընդունել է ի գիտություն:</w:t>
            </w:r>
          </w:p>
          <w:p w14:paraId="3D2086F7" w14:textId="77777777" w:rsidR="001242A6" w:rsidRPr="002E2077" w:rsidRDefault="001242A6" w:rsidP="001242A6">
            <w:pPr>
              <w:spacing w:after="0" w:line="240" w:lineRule="auto"/>
              <w:ind w:firstLine="567"/>
              <w:rPr>
                <w:sz w:val="20"/>
                <w:szCs w:val="20"/>
                <w:lang w:val="hy-AM"/>
              </w:rPr>
            </w:pPr>
            <w:r w:rsidRPr="002E2077">
              <w:rPr>
                <w:sz w:val="20"/>
                <w:szCs w:val="20"/>
                <w:lang w:val="hy-AM"/>
              </w:rPr>
              <w:t xml:space="preserve">Իսկ ինչ վերաբերում է </w:t>
            </w:r>
            <w:r w:rsidRPr="002E2077">
              <w:rPr>
                <w:i/>
                <w:sz w:val="20"/>
                <w:szCs w:val="20"/>
                <w:u w:val="single"/>
                <w:lang w:val="hy-AM"/>
              </w:rPr>
              <w:t>խեղաթյուրումների հետ կապված մեկնաբանությանը</w:t>
            </w:r>
            <w:r w:rsidRPr="002E2077">
              <w:rPr>
                <w:sz w:val="20"/>
                <w:szCs w:val="20"/>
                <w:lang w:val="hy-AM"/>
              </w:rPr>
              <w:t>, ապա ևս մեկ անգամ հայտնում ենք, որ հաշվեքննողի կողմից արձանագրվածը խեղաթյուրում չէ, այլ բյուջե</w:t>
            </w:r>
            <w:r w:rsidRPr="002E2077">
              <w:rPr>
                <w:sz w:val="20"/>
                <w:szCs w:val="20"/>
                <w:lang w:val="hy-AM"/>
              </w:rPr>
              <w:softHyphen/>
              <w:t>տային ծախսերի տնտեսագիտական դասակարգման հոդվածների անհամապատասխա</w:t>
            </w:r>
            <w:r w:rsidRPr="002E2077">
              <w:rPr>
                <w:sz w:val="20"/>
                <w:szCs w:val="20"/>
                <w:lang w:val="hy-AM"/>
              </w:rPr>
              <w:softHyphen/>
              <w:t>նութ</w:t>
            </w:r>
            <w:r w:rsidRPr="002E2077">
              <w:rPr>
                <w:sz w:val="20"/>
                <w:szCs w:val="20"/>
                <w:lang w:val="hy-AM"/>
              </w:rPr>
              <w:softHyphen/>
              <w:t>յուն:</w:t>
            </w:r>
          </w:p>
          <w:p w14:paraId="23E69670" w14:textId="77777777" w:rsidR="001242A6" w:rsidRPr="002E2077" w:rsidRDefault="001242A6" w:rsidP="001242A6">
            <w:pPr>
              <w:spacing w:after="0" w:line="240" w:lineRule="auto"/>
              <w:ind w:firstLine="567"/>
              <w:rPr>
                <w:sz w:val="20"/>
                <w:szCs w:val="20"/>
                <w:lang w:val="hy-AM"/>
              </w:rPr>
            </w:pPr>
            <w:r w:rsidRPr="002E2077">
              <w:rPr>
                <w:sz w:val="20"/>
                <w:szCs w:val="20"/>
                <w:lang w:val="hy-AM"/>
              </w:rPr>
              <w:t>Ելնելով վերոգրյալից և հաշվի առնելով հանրության կողմից ստացվող հնչեղությունը` հաշվեքննողին առաջարկում ենք Կոմիտեի 2023 թվականի պետական բյուջեի ինն ամիսների կատարման հաշվեքննության արդյունքների վերաբերյալ արձանա</w:t>
            </w:r>
            <w:r w:rsidRPr="002E2077">
              <w:rPr>
                <w:sz w:val="20"/>
                <w:szCs w:val="20"/>
                <w:lang w:val="hy-AM"/>
              </w:rPr>
              <w:softHyphen/>
              <w:t>գրությունից և ընթացիկ եզրակացությունից հանել խեղաթյուրման վերաբերյալ արձանագրումը:</w:t>
            </w:r>
          </w:p>
          <w:p w14:paraId="6025FEF5" w14:textId="77777777" w:rsidR="005D101C" w:rsidRPr="002E2077" w:rsidRDefault="005D101C" w:rsidP="00F940A3">
            <w:pPr>
              <w:spacing w:after="0" w:line="240" w:lineRule="auto"/>
              <w:ind w:firstLine="567"/>
              <w:rPr>
                <w:sz w:val="20"/>
                <w:szCs w:val="20"/>
                <w:u w:val="single"/>
                <w:lang w:val="hy-AM"/>
              </w:rPr>
            </w:pPr>
          </w:p>
        </w:tc>
      </w:tr>
      <w:tr w:rsidR="005D101C" w:rsidRPr="002E2077" w14:paraId="5E0DFB65" w14:textId="77777777" w:rsidTr="00363E9B">
        <w:trPr>
          <w:trHeight w:val="440"/>
        </w:trPr>
        <w:tc>
          <w:tcPr>
            <w:tcW w:w="13609" w:type="dxa"/>
            <w:gridSpan w:val="4"/>
          </w:tcPr>
          <w:p w14:paraId="664772DA" w14:textId="77777777" w:rsidR="005D101C" w:rsidRPr="002E2077" w:rsidRDefault="001242A6" w:rsidP="00F940A3">
            <w:pPr>
              <w:spacing w:after="0" w:line="240" w:lineRule="auto"/>
              <w:ind w:firstLine="440"/>
              <w:jc w:val="center"/>
              <w:rPr>
                <w:b/>
                <w:bCs/>
                <w:color w:val="000000" w:themeColor="text1"/>
                <w:sz w:val="20"/>
                <w:szCs w:val="20"/>
                <w:lang w:val="hy-AM" w:eastAsia="x-none"/>
              </w:rPr>
            </w:pPr>
            <w:r w:rsidRPr="002E2077">
              <w:rPr>
                <w:b/>
                <w:color w:val="000000" w:themeColor="text1"/>
                <w:sz w:val="20"/>
                <w:szCs w:val="20"/>
              </w:rPr>
              <w:lastRenderedPageBreak/>
              <w:t>2.</w:t>
            </w:r>
            <w:r w:rsidRPr="002E2077">
              <w:rPr>
                <w:b/>
                <w:color w:val="000000" w:themeColor="text1"/>
                <w:sz w:val="20"/>
                <w:szCs w:val="20"/>
                <w:lang w:val="hy-AM"/>
              </w:rPr>
              <w:t>Գիշերային աշխատանքի վարձատրություն</w:t>
            </w:r>
          </w:p>
        </w:tc>
      </w:tr>
      <w:tr w:rsidR="005D101C" w:rsidRPr="00B54092" w14:paraId="3B7ECDBA" w14:textId="77777777" w:rsidTr="00363E9B">
        <w:trPr>
          <w:trHeight w:val="2757"/>
        </w:trPr>
        <w:tc>
          <w:tcPr>
            <w:tcW w:w="630" w:type="dxa"/>
          </w:tcPr>
          <w:p w14:paraId="5972489A" w14:textId="77777777" w:rsidR="005D101C" w:rsidRPr="002E2077" w:rsidRDefault="005D101C" w:rsidP="00F940A3">
            <w:pPr>
              <w:spacing w:after="0" w:line="240" w:lineRule="auto"/>
              <w:ind w:firstLine="0"/>
              <w:rPr>
                <w:b/>
                <w:i/>
                <w:color w:val="000000" w:themeColor="text1"/>
                <w:sz w:val="20"/>
                <w:szCs w:val="20"/>
                <w:lang w:val="hy-AM"/>
              </w:rPr>
            </w:pPr>
            <w:r w:rsidRPr="002E2077">
              <w:rPr>
                <w:b/>
                <w:i/>
                <w:color w:val="000000" w:themeColor="text1"/>
                <w:sz w:val="20"/>
                <w:szCs w:val="20"/>
                <w:lang w:val="hy-AM"/>
              </w:rPr>
              <w:t>2</w:t>
            </w:r>
          </w:p>
        </w:tc>
        <w:tc>
          <w:tcPr>
            <w:tcW w:w="6884" w:type="dxa"/>
          </w:tcPr>
          <w:p w14:paraId="10581FE7" w14:textId="77777777" w:rsidR="001242A6" w:rsidRPr="002E2077" w:rsidRDefault="001242A6" w:rsidP="001242A6">
            <w:pPr>
              <w:shd w:val="clear" w:color="auto" w:fill="FFFFFF"/>
              <w:spacing w:after="0"/>
              <w:ind w:firstLine="0"/>
              <w:rPr>
                <w:rFonts w:eastAsia="Times New Roman" w:cs="Sylfaen"/>
                <w:b/>
                <w:i/>
                <w:color w:val="000000" w:themeColor="text1"/>
                <w:sz w:val="20"/>
                <w:szCs w:val="24"/>
                <w:lang w:val="hy-AM"/>
              </w:rPr>
            </w:pPr>
            <w:r w:rsidRPr="002E2077">
              <w:rPr>
                <w:rFonts w:eastAsia="Times New Roman" w:cs="Sylfaen"/>
                <w:b/>
                <w:i/>
                <w:color w:val="000000" w:themeColor="text1"/>
                <w:sz w:val="20"/>
                <w:szCs w:val="24"/>
                <w:lang w:val="hy-AM"/>
              </w:rPr>
              <w:t>Առկա է անհամապատասխանություն ՀՀ աշխատանքային օրենսգրքի 184-րդ հոդվածի 1-ին մասով սահմանված պահանջների նկատմամբ, այն է՝ գիշերային աշխատանքի յուրաքանչյուր ժամի համար ժամային դրույքաչափից բացի, վճարվում է հավելում ոչ պակաս, քան ժամային դրույքաչափի 30 տոկոսի չափով:</w:t>
            </w:r>
          </w:p>
          <w:p w14:paraId="1FCCA03C" w14:textId="77777777" w:rsidR="005D101C" w:rsidRPr="002E2077" w:rsidRDefault="005D101C" w:rsidP="00F940A3">
            <w:pPr>
              <w:spacing w:after="0" w:line="240" w:lineRule="auto"/>
              <w:ind w:firstLine="440"/>
              <w:rPr>
                <w:b/>
                <w:i/>
                <w:color w:val="000000" w:themeColor="text1"/>
                <w:sz w:val="20"/>
                <w:szCs w:val="20"/>
                <w:lang w:val="hy-AM"/>
              </w:rPr>
            </w:pPr>
          </w:p>
        </w:tc>
        <w:tc>
          <w:tcPr>
            <w:tcW w:w="1462" w:type="dxa"/>
            <w:vAlign w:val="center"/>
          </w:tcPr>
          <w:p w14:paraId="082BE3EF" w14:textId="77777777" w:rsidR="005D101C" w:rsidRPr="002E2077" w:rsidRDefault="005D101C" w:rsidP="00F940A3">
            <w:pPr>
              <w:spacing w:before="0" w:after="0" w:line="240" w:lineRule="auto"/>
              <w:ind w:firstLine="0"/>
              <w:rPr>
                <w:rFonts w:eastAsiaTheme="minorHAnsi" w:cstheme="minorBidi"/>
                <w:color w:val="000000"/>
                <w:sz w:val="20"/>
                <w:szCs w:val="20"/>
                <w:shd w:val="clear" w:color="auto" w:fill="FFFFFF"/>
                <w:lang w:val="hy-AM"/>
              </w:rPr>
            </w:pPr>
            <w:r w:rsidRPr="002E2077">
              <w:rPr>
                <w:rFonts w:cs="Sylfaen"/>
                <w:color w:val="000000" w:themeColor="text1"/>
                <w:sz w:val="20"/>
                <w:szCs w:val="20"/>
                <w:lang w:val="hy-AM"/>
              </w:rPr>
              <w:t xml:space="preserve">Վերացված </w:t>
            </w:r>
            <w:r w:rsidRPr="002E2077">
              <w:rPr>
                <w:rFonts w:cs="Sylfaen"/>
                <w:color w:val="000000" w:themeColor="text1"/>
                <w:sz w:val="20"/>
                <w:szCs w:val="20"/>
              </w:rPr>
              <w:t>չէ</w:t>
            </w:r>
            <w:r w:rsidRPr="002E2077">
              <w:rPr>
                <w:rFonts w:cs="Sylfaen"/>
                <w:color w:val="000000" w:themeColor="text1"/>
                <w:sz w:val="20"/>
                <w:szCs w:val="20"/>
                <w:lang w:val="hy-AM"/>
              </w:rPr>
              <w:t xml:space="preserve"> </w:t>
            </w:r>
          </w:p>
        </w:tc>
        <w:tc>
          <w:tcPr>
            <w:tcW w:w="4633" w:type="dxa"/>
          </w:tcPr>
          <w:p w14:paraId="34730475" w14:textId="519C1CD4" w:rsidR="005D101C" w:rsidRPr="00363E9B" w:rsidRDefault="00F153EE" w:rsidP="00363E9B">
            <w:pPr>
              <w:spacing w:before="0" w:after="0" w:line="240" w:lineRule="auto"/>
              <w:ind w:firstLine="357"/>
              <w:rPr>
                <w:rFonts w:cs="Sylfaen"/>
                <w:color w:val="000000" w:themeColor="text1"/>
                <w:sz w:val="20"/>
                <w:szCs w:val="20"/>
                <w:lang w:val="hy-AM"/>
              </w:rPr>
            </w:pPr>
            <w:r w:rsidRPr="002E2077">
              <w:rPr>
                <w:rFonts w:cs="Sylfaen"/>
                <w:color w:val="000000" w:themeColor="text1"/>
                <w:sz w:val="20"/>
                <w:szCs w:val="20"/>
                <w:lang w:val="hy-AM"/>
              </w:rPr>
              <w:t>Հաշվեքննողի կողմից ներկայացված մեկնաբանությունը, Կոմիտեի պարզաբանումների վերաբերյալ, ընդունվել է ի գիտություն, իսկ ինչ վերաբերում է հարցի կարգավորված չլինելուն, ապա հայտնում ենք, որ ներկա պահին ևս մեկ անգամ միջոցներ են ձեռնարկվում իրականացնել օրենսդրական համապատասխան փոփոխություններ (համապատասխան նախագիծը շրջա</w:t>
            </w:r>
            <w:r w:rsidRPr="002E2077">
              <w:rPr>
                <w:rFonts w:cs="Sylfaen"/>
                <w:color w:val="000000" w:themeColor="text1"/>
                <w:sz w:val="20"/>
                <w:szCs w:val="20"/>
                <w:lang w:val="hy-AM"/>
              </w:rPr>
              <w:softHyphen/>
              <w:t>նառվում է</w:t>
            </w:r>
            <w:r w:rsidR="00363E9B">
              <w:rPr>
                <w:rFonts w:cs="Sylfaen"/>
                <w:color w:val="000000" w:themeColor="text1"/>
                <w:sz w:val="20"/>
                <w:szCs w:val="20"/>
                <w:lang w:val="hy-AM"/>
              </w:rPr>
              <w:t>):</w:t>
            </w:r>
          </w:p>
        </w:tc>
      </w:tr>
      <w:tr w:rsidR="005D101C" w:rsidRPr="00B54092" w14:paraId="665C2400" w14:textId="77777777" w:rsidTr="00363E9B">
        <w:trPr>
          <w:trHeight w:val="426"/>
        </w:trPr>
        <w:tc>
          <w:tcPr>
            <w:tcW w:w="13609" w:type="dxa"/>
            <w:gridSpan w:val="4"/>
          </w:tcPr>
          <w:p w14:paraId="0AA72E84" w14:textId="77777777" w:rsidR="00F153EE" w:rsidRPr="002E2077" w:rsidRDefault="00F153EE" w:rsidP="00F153EE">
            <w:pPr>
              <w:spacing w:after="0" w:line="240" w:lineRule="auto"/>
              <w:ind w:firstLine="440"/>
              <w:jc w:val="center"/>
              <w:rPr>
                <w:b/>
                <w:color w:val="000000" w:themeColor="text1"/>
                <w:sz w:val="20"/>
                <w:szCs w:val="20"/>
                <w:lang w:val="hy-AM"/>
              </w:rPr>
            </w:pPr>
            <w:r w:rsidRPr="002E2077">
              <w:rPr>
                <w:b/>
                <w:color w:val="000000" w:themeColor="text1"/>
                <w:sz w:val="20"/>
                <w:szCs w:val="20"/>
                <w:lang w:val="hy-AM"/>
              </w:rPr>
              <w:t>3.1023-11001 «Հարկային և մաքսային ծրագրի» միջոցառման շրջանակներում 426400 «Տրանսպորտային նյութեր» տնտեսագիտական դասակարգման հոդվածով կատարված ծախսեր</w:t>
            </w:r>
          </w:p>
          <w:p w14:paraId="4AB03E8A" w14:textId="77777777" w:rsidR="005D101C" w:rsidRPr="002E2077" w:rsidRDefault="005D101C" w:rsidP="00F940A3">
            <w:pPr>
              <w:spacing w:before="0" w:after="0" w:line="240" w:lineRule="auto"/>
              <w:ind w:left="360" w:firstLine="0"/>
              <w:rPr>
                <w:rFonts w:cs="Sylfaen"/>
                <w:b/>
                <w:i/>
                <w:color w:val="000000" w:themeColor="text1"/>
                <w:sz w:val="20"/>
                <w:szCs w:val="20"/>
                <w:lang w:val="hy-AM"/>
              </w:rPr>
            </w:pPr>
          </w:p>
        </w:tc>
      </w:tr>
      <w:tr w:rsidR="005D101C" w:rsidRPr="00B54092" w14:paraId="039DEEDB" w14:textId="77777777" w:rsidTr="00363E9B">
        <w:tc>
          <w:tcPr>
            <w:tcW w:w="630" w:type="dxa"/>
          </w:tcPr>
          <w:p w14:paraId="77DDF51B" w14:textId="77777777" w:rsidR="005D101C" w:rsidRPr="002E2077" w:rsidRDefault="005D101C" w:rsidP="00F940A3">
            <w:pPr>
              <w:spacing w:before="0" w:after="0" w:line="240" w:lineRule="auto"/>
              <w:ind w:firstLine="0"/>
              <w:rPr>
                <w:rFonts w:cs="Sylfaen"/>
                <w:b/>
                <w:i/>
                <w:color w:val="000000" w:themeColor="text1"/>
                <w:sz w:val="20"/>
                <w:szCs w:val="20"/>
                <w:lang w:val="hy-AM"/>
              </w:rPr>
            </w:pPr>
            <w:r w:rsidRPr="002E2077">
              <w:rPr>
                <w:rFonts w:cs="Sylfaen"/>
                <w:b/>
                <w:i/>
                <w:color w:val="000000" w:themeColor="text1"/>
                <w:sz w:val="20"/>
                <w:szCs w:val="20"/>
                <w:lang w:val="hy-AM"/>
              </w:rPr>
              <w:t>3</w:t>
            </w:r>
          </w:p>
        </w:tc>
        <w:tc>
          <w:tcPr>
            <w:tcW w:w="6884" w:type="dxa"/>
          </w:tcPr>
          <w:p w14:paraId="1910F63C" w14:textId="77777777" w:rsidR="00F153EE" w:rsidRPr="002E2077" w:rsidRDefault="00F153EE" w:rsidP="00F153EE">
            <w:pPr>
              <w:shd w:val="clear" w:color="auto" w:fill="FFFFFF"/>
              <w:spacing w:after="0"/>
              <w:ind w:firstLine="0"/>
              <w:rPr>
                <w:rFonts w:eastAsia="Times New Roman" w:cs="Sylfaen"/>
                <w:b/>
                <w:i/>
                <w:color w:val="000000" w:themeColor="text1"/>
                <w:sz w:val="20"/>
                <w:szCs w:val="24"/>
                <w:lang w:val="hy-AM"/>
              </w:rPr>
            </w:pPr>
            <w:r w:rsidRPr="002E2077">
              <w:rPr>
                <w:rFonts w:eastAsia="Times New Roman" w:cs="Sylfaen"/>
                <w:b/>
                <w:i/>
                <w:color w:val="000000" w:themeColor="text1"/>
                <w:sz w:val="20"/>
                <w:szCs w:val="24"/>
                <w:lang w:val="hy-AM"/>
              </w:rPr>
              <w:t xml:space="preserve">Առկա է անհամապատասխանություն  «Հանրային հատվածի կազմակերպությունների հաշվապահական հաշվառման մասին» ՀՀ օրենքի  11-րդ հոդվածի 2-րդ մասի 6-րդ և 7-րդ կետերի պահանջների նկատմամբ: </w:t>
            </w:r>
          </w:p>
          <w:p w14:paraId="3AC32527" w14:textId="77777777" w:rsidR="00F153EE" w:rsidRPr="002E2077" w:rsidRDefault="00F153EE" w:rsidP="00F153EE">
            <w:pPr>
              <w:shd w:val="clear" w:color="auto" w:fill="FFFFFF"/>
              <w:spacing w:after="0"/>
              <w:ind w:firstLine="0"/>
              <w:rPr>
                <w:rFonts w:eastAsia="Times New Roman" w:cs="Sylfaen"/>
                <w:b/>
                <w:i/>
                <w:color w:val="000000" w:themeColor="text1"/>
                <w:sz w:val="20"/>
                <w:szCs w:val="24"/>
                <w:lang w:val="hy-AM"/>
              </w:rPr>
            </w:pPr>
            <w:r w:rsidRPr="002E2077">
              <w:rPr>
                <w:rFonts w:eastAsia="Times New Roman" w:cs="Sylfaen"/>
                <w:b/>
                <w:i/>
                <w:color w:val="000000" w:themeColor="text1"/>
                <w:sz w:val="20"/>
                <w:szCs w:val="24"/>
                <w:lang w:val="hy-AM"/>
              </w:rPr>
              <w:t xml:space="preserve">Առկա է անհամապատասխանություն    ՀՀ ֆինանսների նախարարի 2016 թվականի «Հանրային հատվածի կազմակերպությունների սկզբնական հաշվապահական հաշվառման  փաստաթղթերի և հաշվապահական հաշվառման  գրանցամատյանների օրինակելի ձևերը սահմանելու մասին» թիվ 37-Ն  հրամանի № 1 հավելվածի 48-րդ կետով նախատեսված ԾԽ-6 ձևի և ՀՀ ֆինանսների նախարարի 2016 թվականի «Հանրային հատվածի կազմակերպությունների </w:t>
            </w:r>
            <w:r w:rsidRPr="002E2077">
              <w:rPr>
                <w:rFonts w:eastAsia="Times New Roman" w:cs="Sylfaen"/>
                <w:b/>
                <w:i/>
                <w:color w:val="000000" w:themeColor="text1"/>
                <w:sz w:val="20"/>
                <w:szCs w:val="24"/>
                <w:lang w:val="hy-AM"/>
              </w:rPr>
              <w:lastRenderedPageBreak/>
              <w:t>գործառնությունների փաստաթղթավորման և փաստաթղթաշրջանառության օրինակելի ուղեցույցը սահմանելու մասին» թիվ 142-Ա   հրամանի հավելվածի 7.7-րդ կետի պահանջների նկատմամբ:</w:t>
            </w:r>
          </w:p>
          <w:p w14:paraId="6B751C56" w14:textId="77777777" w:rsidR="00F153EE" w:rsidRPr="002E2077" w:rsidRDefault="00F153EE" w:rsidP="00F153EE">
            <w:pPr>
              <w:shd w:val="clear" w:color="auto" w:fill="FFFFFF"/>
              <w:spacing w:after="0"/>
              <w:ind w:firstLine="0"/>
              <w:rPr>
                <w:rFonts w:eastAsia="Times New Roman" w:cs="Sylfaen"/>
                <w:b/>
                <w:i/>
                <w:color w:val="000000" w:themeColor="text1"/>
                <w:sz w:val="20"/>
                <w:szCs w:val="24"/>
                <w:lang w:val="hy-AM"/>
              </w:rPr>
            </w:pPr>
            <w:r w:rsidRPr="002E2077">
              <w:rPr>
                <w:rFonts w:eastAsia="Times New Roman" w:cs="Sylfaen"/>
                <w:b/>
                <w:i/>
                <w:color w:val="000000" w:themeColor="text1"/>
                <w:sz w:val="20"/>
                <w:szCs w:val="24"/>
                <w:lang w:val="hy-AM"/>
              </w:rPr>
              <w:t xml:space="preserve">Առկա է անհամապատասխանություն ՀՀ ֆինանսների նախարարի 2014 թվականի հոկտեմբերի 24 -ի թիվ 725-Ն հրամանով հաստատված «Հայաստանի Հանրապետության հանրային հատվածի հաշվապահական հաշվառման ստանդարտ»-ով սահմանված ծախսերի ճանաչման (ստանդարտի 2.47 և 2.48  կետեր) պահանջների նկատմամբ: </w:t>
            </w:r>
          </w:p>
          <w:p w14:paraId="06CD00EA" w14:textId="77777777" w:rsidR="005D101C" w:rsidRPr="002E2077" w:rsidRDefault="005D101C" w:rsidP="00F940A3">
            <w:pPr>
              <w:spacing w:before="0" w:after="0" w:line="240" w:lineRule="auto"/>
              <w:ind w:firstLine="357"/>
              <w:rPr>
                <w:rFonts w:cs="Sylfaen"/>
                <w:b/>
                <w:i/>
                <w:color w:val="000000" w:themeColor="text1"/>
                <w:sz w:val="20"/>
                <w:szCs w:val="20"/>
                <w:lang w:val="hy-AM"/>
              </w:rPr>
            </w:pPr>
          </w:p>
        </w:tc>
        <w:tc>
          <w:tcPr>
            <w:tcW w:w="1462" w:type="dxa"/>
            <w:vAlign w:val="center"/>
          </w:tcPr>
          <w:p w14:paraId="01A8B341" w14:textId="77777777" w:rsidR="005D101C" w:rsidRPr="002E2077" w:rsidRDefault="005D101C" w:rsidP="002E2077">
            <w:pPr>
              <w:shd w:val="clear" w:color="auto" w:fill="FFFFFF"/>
              <w:spacing w:after="0"/>
              <w:ind w:firstLine="0"/>
              <w:rPr>
                <w:rFonts w:eastAsia="Times New Roman" w:cs="Sylfaen"/>
                <w:b/>
                <w:i/>
                <w:color w:val="000000" w:themeColor="text1"/>
                <w:sz w:val="20"/>
                <w:szCs w:val="24"/>
                <w:lang w:val="hy-AM"/>
              </w:rPr>
            </w:pPr>
            <w:r w:rsidRPr="002E2077">
              <w:rPr>
                <w:rFonts w:eastAsia="Times New Roman" w:cs="Sylfaen"/>
                <w:b/>
                <w:i/>
                <w:color w:val="000000" w:themeColor="text1"/>
                <w:sz w:val="20"/>
                <w:szCs w:val="24"/>
                <w:lang w:val="hy-AM"/>
              </w:rPr>
              <w:lastRenderedPageBreak/>
              <w:t>Վերացված է</w:t>
            </w:r>
          </w:p>
        </w:tc>
        <w:tc>
          <w:tcPr>
            <w:tcW w:w="4633" w:type="dxa"/>
          </w:tcPr>
          <w:p w14:paraId="3FF17877" w14:textId="77777777" w:rsidR="00F153EE" w:rsidRPr="002E2077" w:rsidRDefault="00F153EE" w:rsidP="00F153EE">
            <w:pPr>
              <w:spacing w:before="0" w:after="0" w:line="240" w:lineRule="auto"/>
              <w:ind w:firstLine="357"/>
              <w:rPr>
                <w:rFonts w:cs="Sylfaen"/>
                <w:color w:val="000000" w:themeColor="text1"/>
                <w:sz w:val="20"/>
                <w:szCs w:val="20"/>
                <w:lang w:val="hy-AM"/>
              </w:rPr>
            </w:pPr>
            <w:r w:rsidRPr="002E2077">
              <w:rPr>
                <w:rFonts w:cs="Sylfaen"/>
                <w:color w:val="000000" w:themeColor="text1"/>
                <w:sz w:val="20"/>
                <w:szCs w:val="20"/>
                <w:lang w:val="hy-AM"/>
              </w:rPr>
              <w:t xml:space="preserve">Կոմիտեն չի ընդունում հաշվեքննողի կողմից ներկայացված մեկնաբանությունը (տվյալ հարցի կապակցությամբ ՀՀ ֆինանսների նախարարության կողմից ներկայացված դիրքորո-շումը, բխում է ծախսը ճանաչելու  համար ստանդարտով սահմանված պահանջներից՝ այսինքն վառելիքի ծախսը պետք է հաշվարկվի  տրանսպորտային միջոցի փաստացի վազքի ցուցիչների ցուցմունքների հիման վրա) և բարձրացված հարցի կապակցությամբ մնում է իր դիրքորոշմանը, որն արդեն իսկ ներկայացվել է Կոմիտեի 2023 թվականի ինն ամիսների կատարման </w:t>
            </w:r>
            <w:r w:rsidRPr="002E2077">
              <w:rPr>
                <w:rFonts w:cs="Sylfaen"/>
                <w:color w:val="000000" w:themeColor="text1"/>
                <w:sz w:val="20"/>
                <w:szCs w:val="20"/>
                <w:lang w:val="hy-AM"/>
              </w:rPr>
              <w:lastRenderedPageBreak/>
              <w:t>Հայաս¬տանի Հանրապետության հաշվեքննիչ պալատի հաշվեքննության արձանագրության անհամա¬պատասխանությունների, խեղաթյուրումների վերաբերյալ առարկությունների 3-րդ կետում:</w:t>
            </w:r>
          </w:p>
          <w:p w14:paraId="2DA73B62" w14:textId="77777777" w:rsidR="005D101C" w:rsidRPr="002E2077" w:rsidRDefault="00F153EE" w:rsidP="00F153EE">
            <w:pPr>
              <w:spacing w:before="0" w:after="0" w:line="240" w:lineRule="auto"/>
              <w:ind w:firstLine="357"/>
              <w:rPr>
                <w:rFonts w:cs="Sylfaen"/>
                <w:color w:val="000000" w:themeColor="text1"/>
                <w:sz w:val="20"/>
                <w:szCs w:val="20"/>
                <w:lang w:val="hy-AM"/>
              </w:rPr>
            </w:pPr>
            <w:r w:rsidRPr="002E2077">
              <w:rPr>
                <w:rFonts w:cs="Sylfaen"/>
                <w:color w:val="000000" w:themeColor="text1"/>
                <w:sz w:val="20"/>
                <w:szCs w:val="20"/>
                <w:lang w:val="hy-AM"/>
              </w:rPr>
              <w:t>Միաժամանակ, տեղեկացնում ենք որ Կոմիտեն իր աշխատանքների բնականոն գործու-նեու¬թյունն ապահովելու շրջանակներում դիմել է ՀՀ տարածքային կառավարման և ենթա-կառուցվածքների ու ՀՀ ֆինանսների նախարարություններին թվով 30 հատ սպասար¬կման նպատակով էլեկտրո¬մոբիլ¬ներ ձեռքբերելու համար: Իսկ ինչ վերաբերում է մեքենաների վառելիքի ծախսերի հաշվարկմանը, ապա հայտնում ենք, որ նախա¬տեսվում է (պիլոտային կարգով) թվայնացնել վառելիքի ծախսերի հաշվարկման գործըն¬թացը:</w:t>
            </w:r>
          </w:p>
        </w:tc>
      </w:tr>
      <w:tr w:rsidR="005D101C" w:rsidRPr="00B54092" w14:paraId="2E04F403" w14:textId="77777777" w:rsidTr="00363E9B">
        <w:tc>
          <w:tcPr>
            <w:tcW w:w="13609" w:type="dxa"/>
            <w:gridSpan w:val="4"/>
          </w:tcPr>
          <w:p w14:paraId="38158E68" w14:textId="2B7125F7" w:rsidR="005D101C" w:rsidRPr="002E2077" w:rsidRDefault="00E877EA" w:rsidP="00F940A3">
            <w:pPr>
              <w:spacing w:after="0" w:line="240" w:lineRule="auto"/>
              <w:ind w:firstLine="440"/>
              <w:jc w:val="center"/>
              <w:rPr>
                <w:b/>
                <w:bCs/>
                <w:color w:val="000000" w:themeColor="text1"/>
                <w:sz w:val="20"/>
                <w:szCs w:val="20"/>
                <w:lang w:val="hy-AM"/>
              </w:rPr>
            </w:pPr>
            <w:r w:rsidRPr="00E877EA">
              <w:rPr>
                <w:b/>
                <w:color w:val="000000" w:themeColor="text1"/>
                <w:sz w:val="20"/>
                <w:szCs w:val="20"/>
                <w:lang w:val="hy-AM"/>
              </w:rPr>
              <w:lastRenderedPageBreak/>
              <w:t>4</w:t>
            </w:r>
            <w:r w:rsidR="00F153EE" w:rsidRPr="002E2077">
              <w:rPr>
                <w:b/>
                <w:color w:val="000000" w:themeColor="text1"/>
                <w:sz w:val="20"/>
                <w:szCs w:val="20"/>
                <w:lang w:val="hy-AM"/>
              </w:rPr>
              <w:t>.</w:t>
            </w:r>
            <w:r w:rsidR="00F153EE" w:rsidRPr="002E2077">
              <w:rPr>
                <w:b/>
                <w:color w:val="000000" w:themeColor="text1"/>
                <w:sz w:val="20"/>
                <w:szCs w:val="20"/>
                <w:lang w:val="hy-AM"/>
              </w:rPr>
              <w:tab/>
              <w:t>1023-11001 «Հարկային և մաքսային ծառայություններ»  միջոցառման շրջանակներում 426900՝ «Հատուկ նպատակային այլ նյութեր» տնտեսագիտական դասակարգման հոդվածով կատարված ծախսեր</w:t>
            </w:r>
          </w:p>
        </w:tc>
      </w:tr>
      <w:tr w:rsidR="005D101C" w:rsidRPr="00B54092" w14:paraId="0C31F786" w14:textId="77777777" w:rsidTr="00363E9B">
        <w:tc>
          <w:tcPr>
            <w:tcW w:w="630" w:type="dxa"/>
          </w:tcPr>
          <w:p w14:paraId="0F11F4D4" w14:textId="4BDE4A04" w:rsidR="005D101C" w:rsidRPr="002E2077" w:rsidRDefault="00E877EA" w:rsidP="00F940A3">
            <w:pPr>
              <w:spacing w:after="0" w:line="240" w:lineRule="auto"/>
              <w:ind w:firstLine="0"/>
              <w:rPr>
                <w:rFonts w:eastAsia="Times New Roman" w:cs="Arial"/>
                <w:b/>
                <w:i/>
                <w:color w:val="000000" w:themeColor="text1"/>
                <w:sz w:val="20"/>
                <w:szCs w:val="20"/>
                <w:lang w:val="hy-AM" w:bidi="en-US"/>
              </w:rPr>
            </w:pPr>
            <w:r>
              <w:rPr>
                <w:rFonts w:eastAsia="Times New Roman" w:cs="Arial"/>
                <w:b/>
                <w:i/>
                <w:color w:val="000000" w:themeColor="text1"/>
                <w:sz w:val="20"/>
                <w:szCs w:val="20"/>
                <w:lang w:val="hy-AM" w:bidi="en-US"/>
              </w:rPr>
              <w:t>4</w:t>
            </w:r>
            <w:r w:rsidR="005D101C" w:rsidRPr="002E2077">
              <w:rPr>
                <w:rFonts w:eastAsia="Times New Roman" w:cs="Arial"/>
                <w:b/>
                <w:i/>
                <w:color w:val="000000" w:themeColor="text1"/>
                <w:sz w:val="20"/>
                <w:szCs w:val="20"/>
                <w:lang w:val="hy-AM" w:bidi="en-US"/>
              </w:rPr>
              <w:t xml:space="preserve"> </w:t>
            </w:r>
          </w:p>
        </w:tc>
        <w:tc>
          <w:tcPr>
            <w:tcW w:w="6884" w:type="dxa"/>
          </w:tcPr>
          <w:p w14:paraId="3EEA2569" w14:textId="77777777" w:rsidR="005D101C" w:rsidRPr="002E2077" w:rsidRDefault="00F153EE" w:rsidP="00F940A3">
            <w:pPr>
              <w:spacing w:line="240" w:lineRule="auto"/>
              <w:ind w:firstLine="0"/>
              <w:rPr>
                <w:rFonts w:eastAsia="Times New Roman" w:cs="Arial"/>
                <w:b/>
                <w:i/>
                <w:color w:val="000000" w:themeColor="text1"/>
                <w:sz w:val="20"/>
                <w:szCs w:val="20"/>
                <w:lang w:val="hy-AM" w:bidi="en-US"/>
              </w:rPr>
            </w:pPr>
            <w:r w:rsidRPr="002E2077">
              <w:rPr>
                <w:rFonts w:eastAsia="Times New Roman" w:cs="Arial"/>
                <w:b/>
                <w:i/>
                <w:color w:val="000000" w:themeColor="text1"/>
                <w:sz w:val="20"/>
                <w:szCs w:val="20"/>
                <w:lang w:val="hy-AM" w:bidi="en-US"/>
              </w:rPr>
              <w:t>Առկա է անհամապատասխանություն ՀՀ  կառավարության 2017 թվականի հուլիսի 27-ի «Հսկիչ գնումների ֆինանսական աղբյուրների և ձեռք բերված ու չվերադարձված ապրանքների տնօրինման կարգը հաստատելու մասին» N 904-Ն որոշմամբ հաստատված հավելված 1-ի 8-րդ կետով սահմանված պահանջի նկատմամբ:</w:t>
            </w:r>
          </w:p>
        </w:tc>
        <w:tc>
          <w:tcPr>
            <w:tcW w:w="1462" w:type="dxa"/>
            <w:vAlign w:val="center"/>
          </w:tcPr>
          <w:p w14:paraId="37A9F00E" w14:textId="77777777" w:rsidR="005D101C" w:rsidRPr="002E2077" w:rsidRDefault="005D101C" w:rsidP="00F940A3">
            <w:pPr>
              <w:spacing w:before="0" w:after="0" w:line="240" w:lineRule="auto"/>
              <w:ind w:firstLine="0"/>
              <w:rPr>
                <w:rFonts w:cs="Sylfaen"/>
                <w:color w:val="000000" w:themeColor="text1"/>
                <w:sz w:val="20"/>
                <w:szCs w:val="20"/>
                <w:lang w:val="hy-AM"/>
              </w:rPr>
            </w:pPr>
            <w:r w:rsidRPr="002E2077">
              <w:rPr>
                <w:rFonts w:cs="Sylfaen"/>
                <w:color w:val="000000" w:themeColor="text1"/>
                <w:sz w:val="20"/>
                <w:szCs w:val="20"/>
                <w:lang w:val="hy-AM"/>
              </w:rPr>
              <w:t>Վերացված չէ</w:t>
            </w:r>
          </w:p>
        </w:tc>
        <w:tc>
          <w:tcPr>
            <w:tcW w:w="4633" w:type="dxa"/>
          </w:tcPr>
          <w:p w14:paraId="0D6B2ACC" w14:textId="77777777" w:rsidR="005D101C" w:rsidRPr="002E2077" w:rsidRDefault="00F153EE" w:rsidP="00F940A3">
            <w:pPr>
              <w:spacing w:before="0" w:after="0" w:line="240" w:lineRule="auto"/>
              <w:ind w:firstLine="357"/>
              <w:rPr>
                <w:rFonts w:cs="Sylfaen"/>
                <w:color w:val="000000" w:themeColor="text1"/>
                <w:sz w:val="20"/>
                <w:szCs w:val="20"/>
                <w:lang w:val="hy-AM"/>
              </w:rPr>
            </w:pPr>
            <w:r w:rsidRPr="002E2077">
              <w:rPr>
                <w:rFonts w:cs="Sylfaen"/>
                <w:color w:val="000000" w:themeColor="text1"/>
                <w:sz w:val="20"/>
                <w:szCs w:val="20"/>
                <w:lang w:val="hy-AM"/>
              </w:rPr>
              <w:t xml:space="preserve">Կոմիտեն հաշվեքննողի կողմից ներկայացված մեկնաբանությունների կապակցությամբ առարկություններ չունի: </w:t>
            </w:r>
          </w:p>
          <w:p w14:paraId="63558230" w14:textId="77777777" w:rsidR="005D101C" w:rsidRPr="002E2077" w:rsidRDefault="005D101C" w:rsidP="00F940A3">
            <w:pPr>
              <w:spacing w:before="0" w:after="0" w:line="240" w:lineRule="auto"/>
              <w:ind w:firstLine="357"/>
              <w:rPr>
                <w:rFonts w:cs="Sylfaen"/>
                <w:color w:val="000000" w:themeColor="text1"/>
                <w:sz w:val="20"/>
                <w:szCs w:val="20"/>
                <w:lang w:val="hy-AM"/>
              </w:rPr>
            </w:pPr>
          </w:p>
          <w:p w14:paraId="62706079" w14:textId="77777777" w:rsidR="005D101C" w:rsidRPr="002E2077" w:rsidRDefault="005D101C" w:rsidP="00F940A3">
            <w:pPr>
              <w:spacing w:before="0" w:after="0" w:line="240" w:lineRule="auto"/>
              <w:ind w:firstLine="357"/>
              <w:rPr>
                <w:rFonts w:cs="Sylfaen"/>
                <w:color w:val="000000" w:themeColor="text1"/>
                <w:sz w:val="20"/>
                <w:szCs w:val="20"/>
                <w:lang w:val="hy-AM"/>
              </w:rPr>
            </w:pPr>
          </w:p>
        </w:tc>
      </w:tr>
    </w:tbl>
    <w:p w14:paraId="568968CB" w14:textId="77777777" w:rsidR="0077391C" w:rsidRDefault="0077391C" w:rsidP="005D101C">
      <w:pPr>
        <w:spacing w:before="0" w:after="0" w:line="240" w:lineRule="auto"/>
        <w:ind w:firstLine="709"/>
        <w:rPr>
          <w:rFonts w:cs="Sylfaen"/>
          <w:lang w:val="hy-AM"/>
        </w:rPr>
      </w:pPr>
    </w:p>
    <w:sectPr w:rsidR="0077391C" w:rsidSect="00F940A3">
      <w:pgSz w:w="15840" w:h="12240" w:orient="landscape"/>
      <w:pgMar w:top="1440" w:right="1440" w:bottom="2127"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652B1" w16cex:dateUtc="2024-04-26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53B21" w16cid:durableId="29D652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0236B" w14:textId="77777777" w:rsidR="004066F9" w:rsidRDefault="004066F9" w:rsidP="005D101C">
      <w:pPr>
        <w:spacing w:before="0" w:after="0" w:line="240" w:lineRule="auto"/>
      </w:pPr>
      <w:r>
        <w:separator/>
      </w:r>
    </w:p>
  </w:endnote>
  <w:endnote w:type="continuationSeparator" w:id="0">
    <w:p w14:paraId="1B7FF036" w14:textId="77777777" w:rsidR="004066F9" w:rsidRDefault="004066F9" w:rsidP="005D10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867F" w14:textId="77777777" w:rsidR="00E57F66" w:rsidRPr="00F00026" w:rsidRDefault="00E57F66" w:rsidP="00F940A3">
    <w:pPr>
      <w:spacing w:after="0" w:line="240" w:lineRule="auto"/>
      <w:jc w:val="right"/>
      <w:rPr>
        <w:szCs w:val="20"/>
      </w:rPr>
    </w:pPr>
    <w:r w:rsidRPr="00954C72">
      <w:rPr>
        <w:b/>
        <w:caps/>
        <w:color w:val="0070C0"/>
        <w:sz w:val="22"/>
        <w:szCs w:val="18"/>
        <w:lang w:val="hy-AM"/>
      </w:rPr>
      <w:t xml:space="preserve"> </w:t>
    </w:r>
    <w:r>
      <w:rPr>
        <w:b/>
        <w:caps/>
        <w:color w:val="0070C0"/>
        <w:sz w:val="22"/>
        <w:szCs w:val="18"/>
        <w:lang w:val="en-GB"/>
      </w:rPr>
      <w:t xml:space="preserve">  </w:t>
    </w:r>
    <w:r w:rsidRPr="00F00026">
      <w:rPr>
        <w:b/>
        <w:caps/>
        <w:color w:val="0070C0"/>
        <w:sz w:val="22"/>
        <w:szCs w:val="18"/>
        <w:lang w:val="hy-AM"/>
      </w:rPr>
      <w:t>ՀԱՇՎԵՔՆՆԻՉ ՊԱԼԱՏԻ ԸՆԹԱՑԻԿ ԵԶՐԱԿԱՑՈՒԹՅՈՒՆ</w:t>
    </w:r>
    <w:r>
      <w:rPr>
        <w:b/>
        <w:caps/>
        <w:color w:val="0070C0"/>
        <w:sz w:val="22"/>
        <w:szCs w:val="18"/>
        <w:lang w:val="hy-AM"/>
      </w:rPr>
      <w:t xml:space="preserve"> | 2024</w:t>
    </w:r>
    <w:r w:rsidRPr="00F00026">
      <w:rPr>
        <w:rFonts w:ascii="Calibri" w:hAnsi="Calibri" w:cs="Calibri"/>
        <w:caps/>
        <w:color w:val="808080"/>
        <w:sz w:val="22"/>
        <w:szCs w:val="18"/>
      </w:rPr>
      <w:t> </w:t>
    </w:r>
    <w:r w:rsidRPr="00F00026">
      <w:rPr>
        <w:caps/>
        <w:color w:val="808080"/>
        <w:sz w:val="22"/>
        <w:szCs w:val="18"/>
      </w:rPr>
      <w:t>|</w:t>
    </w:r>
    <w:r w:rsidRPr="00F00026">
      <w:rPr>
        <w:rFonts w:ascii="Calibri" w:hAnsi="Calibri" w:cs="Calibri"/>
        <w:caps/>
        <w:color w:val="808080"/>
        <w:szCs w:val="20"/>
      </w:rPr>
      <w:t> </w:t>
    </w:r>
    <w:r w:rsidRPr="00F00026">
      <w:rPr>
        <w:szCs w:val="20"/>
      </w:rPr>
      <w:t xml:space="preserve">     </w:t>
    </w:r>
  </w:p>
  <w:p w14:paraId="6AE6A028" w14:textId="77777777" w:rsidR="00E57F66" w:rsidRDefault="00E57F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0F247" w14:textId="77777777" w:rsidR="00E57F66" w:rsidRDefault="00E57F66" w:rsidP="00F940A3">
    <w:pPr>
      <w:spacing w:after="0" w:line="240" w:lineRule="auto"/>
      <w:jc w:val="right"/>
      <w:rPr>
        <w:b/>
        <w:caps/>
        <w:color w:val="0070C0"/>
        <w:sz w:val="22"/>
        <w:szCs w:val="18"/>
        <w:lang w:val="hy-AM"/>
      </w:rPr>
    </w:pPr>
  </w:p>
  <w:p w14:paraId="065B8B4D" w14:textId="77777777" w:rsidR="00E57F66" w:rsidRPr="00B83ACE" w:rsidRDefault="00E57F66" w:rsidP="00F940A3">
    <w:pPr>
      <w:spacing w:after="0" w:line="240" w:lineRule="auto"/>
      <w:jc w:val="right"/>
      <w:rPr>
        <w:szCs w:val="20"/>
        <w:lang w:val="hy-AM"/>
      </w:rPr>
    </w:pPr>
    <w:r w:rsidRPr="00D20259">
      <w:rPr>
        <w:b/>
        <w:caps/>
        <w:color w:val="0070C0"/>
        <w:sz w:val="22"/>
        <w:szCs w:val="18"/>
        <w:lang w:val="hy-AM"/>
      </w:rPr>
      <w:t>ՀԱՇՎԵՔՆՆԻՉ ՀՀ ՊԱԼԱՏԻ ԸՆԹԱՑԻԿ ԵԶՐԱԿԱՑՈՒԹՅՈՒՆ</w:t>
    </w:r>
    <w:r>
      <w:rPr>
        <w:b/>
        <w:caps/>
        <w:color w:val="0070C0"/>
        <w:sz w:val="22"/>
        <w:szCs w:val="18"/>
        <w:lang w:val="hy-AM"/>
      </w:rPr>
      <w:t xml:space="preserve"> | 2024</w:t>
    </w:r>
    <w:r w:rsidRPr="00B83ACE">
      <w:rPr>
        <w:rFonts w:ascii="Calibri" w:hAnsi="Calibri" w:cs="Calibri"/>
        <w:caps/>
        <w:color w:val="808080"/>
        <w:sz w:val="22"/>
        <w:szCs w:val="18"/>
        <w:lang w:val="hy-AM"/>
      </w:rPr>
      <w:t> </w:t>
    </w:r>
    <w:r w:rsidRPr="00B83ACE">
      <w:rPr>
        <w:caps/>
        <w:color w:val="808080"/>
        <w:sz w:val="22"/>
        <w:szCs w:val="18"/>
        <w:lang w:val="hy-AM"/>
      </w:rPr>
      <w:t>|</w:t>
    </w:r>
    <w:r w:rsidRPr="00B83ACE">
      <w:rPr>
        <w:rFonts w:ascii="Calibri" w:hAnsi="Calibri" w:cs="Calibri"/>
        <w:caps/>
        <w:color w:val="808080"/>
        <w:szCs w:val="20"/>
        <w:lang w:val="hy-AM"/>
      </w:rPr>
      <w:t> </w:t>
    </w:r>
    <w:r w:rsidRPr="00B83ACE">
      <w:rPr>
        <w:szCs w:val="20"/>
        <w:lang w:val="hy-AM"/>
      </w:rPr>
      <w:t xml:space="preserve">     </w:t>
    </w:r>
  </w:p>
  <w:p w14:paraId="00FBC60B" w14:textId="77777777" w:rsidR="00E57F66" w:rsidRPr="00B83ACE" w:rsidRDefault="00E57F66" w:rsidP="00F940A3">
    <w:pPr>
      <w:pStyle w:val="Footer"/>
      <w:jc w:val="right"/>
      <w:rPr>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7909A" w14:textId="77777777" w:rsidR="004066F9" w:rsidRDefault="004066F9" w:rsidP="005D101C">
      <w:pPr>
        <w:spacing w:before="0" w:after="0" w:line="240" w:lineRule="auto"/>
      </w:pPr>
      <w:r>
        <w:separator/>
      </w:r>
    </w:p>
  </w:footnote>
  <w:footnote w:type="continuationSeparator" w:id="0">
    <w:p w14:paraId="0498115D" w14:textId="77777777" w:rsidR="004066F9" w:rsidRDefault="004066F9" w:rsidP="005D101C">
      <w:pPr>
        <w:spacing w:before="0" w:after="0" w:line="240" w:lineRule="auto"/>
      </w:pPr>
      <w:r>
        <w:continuationSeparator/>
      </w:r>
    </w:p>
  </w:footnote>
  <w:footnote w:id="1">
    <w:p w14:paraId="70D1F837" w14:textId="77777777" w:rsidR="00E57F66" w:rsidRPr="00787341" w:rsidRDefault="00E57F66" w:rsidP="008A058A">
      <w:pPr>
        <w:pStyle w:val="FootnoteText"/>
        <w:rPr>
          <w:lang w:val="ru-RU"/>
        </w:rPr>
      </w:pPr>
      <w:r w:rsidRPr="00144005">
        <w:rPr>
          <w:rStyle w:val="FootnoteReference"/>
        </w:rPr>
        <w:footnoteRef/>
      </w:r>
      <w:r w:rsidRPr="00144005">
        <w:t xml:space="preserve"> Մուտքերում ներառված չեն հավաքագրված և հարկ վճարողներին վերադարձված հարկային եկամուտների և պետական տուրքի գումարները</w:t>
      </w:r>
    </w:p>
  </w:footnote>
  <w:footnote w:id="2">
    <w:p w14:paraId="422C592E" w14:textId="77777777" w:rsidR="00E57F66" w:rsidRPr="00787341" w:rsidRDefault="00E57F66" w:rsidP="008A058A">
      <w:pPr>
        <w:pStyle w:val="FootnoteText"/>
        <w:rPr>
          <w:lang w:val="ru-RU"/>
        </w:rPr>
      </w:pPr>
      <w:r w:rsidRPr="00144005">
        <w:rPr>
          <w:rStyle w:val="FootnoteReference"/>
        </w:rPr>
        <w:footnoteRef/>
      </w:r>
      <w:r w:rsidRPr="00787341">
        <w:rPr>
          <w:lang w:val="ru-RU"/>
        </w:rPr>
        <w:t xml:space="preserve"> </w:t>
      </w:r>
      <w:r w:rsidRPr="00144005">
        <w:t>Ներառված</w:t>
      </w:r>
      <w:r w:rsidRPr="00787341">
        <w:rPr>
          <w:lang w:val="ru-RU"/>
        </w:rPr>
        <w:t xml:space="preserve"> </w:t>
      </w:r>
      <w:r w:rsidRPr="00144005">
        <w:t>են</w:t>
      </w:r>
      <w:r w:rsidRPr="00787341">
        <w:rPr>
          <w:lang w:val="ru-RU"/>
        </w:rPr>
        <w:t xml:space="preserve"> </w:t>
      </w:r>
      <w:r w:rsidRPr="00144005">
        <w:t>նաև</w:t>
      </w:r>
      <w:r w:rsidRPr="00787341">
        <w:rPr>
          <w:lang w:val="ru-RU"/>
        </w:rPr>
        <w:t xml:space="preserve"> </w:t>
      </w:r>
      <w:r w:rsidRPr="00144005">
        <w:t>եկամտահարկից</w:t>
      </w:r>
      <w:r w:rsidRPr="00787341">
        <w:rPr>
          <w:lang w:val="ru-RU"/>
        </w:rPr>
        <w:t xml:space="preserve"> </w:t>
      </w:r>
      <w:r w:rsidRPr="00144005">
        <w:t>և</w:t>
      </w:r>
      <w:r w:rsidRPr="00787341">
        <w:rPr>
          <w:lang w:val="ru-RU"/>
        </w:rPr>
        <w:t xml:space="preserve"> </w:t>
      </w:r>
      <w:r w:rsidRPr="00144005">
        <w:t>պարտադիր</w:t>
      </w:r>
      <w:r w:rsidRPr="00787341">
        <w:rPr>
          <w:lang w:val="ru-RU"/>
        </w:rPr>
        <w:t xml:space="preserve"> </w:t>
      </w:r>
      <w:r w:rsidRPr="00144005">
        <w:t>սոցիալական</w:t>
      </w:r>
      <w:r w:rsidRPr="00787341">
        <w:rPr>
          <w:lang w:val="ru-RU"/>
        </w:rPr>
        <w:t xml:space="preserve"> </w:t>
      </w:r>
      <w:r w:rsidRPr="00144005">
        <w:t>ապահովության</w:t>
      </w:r>
      <w:r w:rsidRPr="00787341">
        <w:rPr>
          <w:lang w:val="ru-RU"/>
        </w:rPr>
        <w:t xml:space="preserve"> </w:t>
      </w:r>
      <w:r w:rsidRPr="00144005">
        <w:t>վճարներից</w:t>
      </w:r>
      <w:r w:rsidRPr="00787341">
        <w:rPr>
          <w:lang w:val="ru-RU"/>
        </w:rPr>
        <w:t xml:space="preserve"> </w:t>
      </w:r>
      <w:r w:rsidRPr="00144005">
        <w:t>եկամուտները</w:t>
      </w:r>
    </w:p>
  </w:footnote>
  <w:footnote w:id="3">
    <w:p w14:paraId="7BD0FBB0" w14:textId="10DB62BF" w:rsidR="00E57F66" w:rsidRPr="004140A6" w:rsidRDefault="00E57F66">
      <w:pPr>
        <w:pStyle w:val="FootnoteText"/>
        <w:rPr>
          <w:lang w:val="ru-RU"/>
        </w:rPr>
      </w:pPr>
      <w:r>
        <w:rPr>
          <w:rStyle w:val="FootnoteReference"/>
        </w:rPr>
        <w:footnoteRef/>
      </w:r>
      <w:r w:rsidRPr="004140A6">
        <w:rPr>
          <w:lang w:val="ru-RU"/>
        </w:rPr>
        <w:t xml:space="preserve"> </w:t>
      </w:r>
      <w:r w:rsidRPr="004140A6">
        <w:t>Այլ</w:t>
      </w:r>
      <w:r w:rsidRPr="00E94337">
        <w:rPr>
          <w:lang w:val="ru-RU"/>
        </w:rPr>
        <w:t xml:space="preserve"> </w:t>
      </w:r>
      <w:r w:rsidRPr="004140A6">
        <w:t>հարկային</w:t>
      </w:r>
      <w:r w:rsidRPr="00E94337">
        <w:rPr>
          <w:lang w:val="ru-RU"/>
        </w:rPr>
        <w:t xml:space="preserve"> </w:t>
      </w:r>
      <w:r w:rsidRPr="004140A6">
        <w:t>եկամուտներում</w:t>
      </w:r>
      <w:r w:rsidRPr="00E94337">
        <w:rPr>
          <w:lang w:val="ru-RU"/>
        </w:rPr>
        <w:t xml:space="preserve"> </w:t>
      </w:r>
      <w:r w:rsidRPr="004140A6">
        <w:t>ներառված</w:t>
      </w:r>
      <w:r w:rsidRPr="00E94337">
        <w:rPr>
          <w:lang w:val="ru-RU"/>
        </w:rPr>
        <w:t xml:space="preserve"> </w:t>
      </w:r>
      <w:r w:rsidRPr="004140A6">
        <w:t>են</w:t>
      </w:r>
      <w:r w:rsidRPr="00E94337">
        <w:rPr>
          <w:lang w:val="ru-RU"/>
        </w:rPr>
        <w:t xml:space="preserve"> </w:t>
      </w:r>
      <w:r w:rsidRPr="004140A6">
        <w:t>ճանապարհային</w:t>
      </w:r>
      <w:r w:rsidRPr="00E94337">
        <w:rPr>
          <w:lang w:val="ru-RU"/>
        </w:rPr>
        <w:t xml:space="preserve"> </w:t>
      </w:r>
      <w:r w:rsidRPr="004140A6">
        <w:t>հարկը</w:t>
      </w:r>
      <w:r w:rsidRPr="00E94337">
        <w:rPr>
          <w:lang w:val="ru-RU"/>
        </w:rPr>
        <w:t xml:space="preserve">, </w:t>
      </w:r>
      <w:r w:rsidRPr="004140A6">
        <w:t>հանրային</w:t>
      </w:r>
      <w:r w:rsidRPr="00E94337">
        <w:rPr>
          <w:lang w:val="ru-RU"/>
        </w:rPr>
        <w:t xml:space="preserve"> </w:t>
      </w:r>
      <w:r w:rsidRPr="004140A6">
        <w:t>ծառայությունների</w:t>
      </w:r>
      <w:r w:rsidRPr="00E94337">
        <w:rPr>
          <w:lang w:val="ru-RU"/>
        </w:rPr>
        <w:t xml:space="preserve"> </w:t>
      </w:r>
      <w:r w:rsidRPr="004140A6">
        <w:t>կարգավորման</w:t>
      </w:r>
      <w:r w:rsidRPr="00E94337">
        <w:rPr>
          <w:lang w:val="ru-RU"/>
        </w:rPr>
        <w:t xml:space="preserve"> </w:t>
      </w:r>
      <w:r w:rsidRPr="004140A6">
        <w:t>պարտադիր</w:t>
      </w:r>
      <w:r w:rsidRPr="00E94337">
        <w:rPr>
          <w:lang w:val="ru-RU"/>
        </w:rPr>
        <w:t xml:space="preserve"> </w:t>
      </w:r>
      <w:r w:rsidRPr="004140A6">
        <w:t>վճարները</w:t>
      </w:r>
      <w:r w:rsidRPr="00E94337">
        <w:rPr>
          <w:lang w:val="ru-RU"/>
        </w:rPr>
        <w:t xml:space="preserve">, </w:t>
      </w:r>
      <w:r w:rsidRPr="004140A6">
        <w:t>արտոնագրային</w:t>
      </w:r>
      <w:r w:rsidRPr="00E94337">
        <w:rPr>
          <w:lang w:val="ru-RU"/>
        </w:rPr>
        <w:t xml:space="preserve"> </w:t>
      </w:r>
      <w:r w:rsidRPr="004140A6">
        <w:t>հարկը</w:t>
      </w:r>
      <w:r w:rsidRPr="00E94337">
        <w:rPr>
          <w:lang w:val="ru-RU"/>
        </w:rPr>
        <w:t xml:space="preserve">, </w:t>
      </w:r>
      <w:r w:rsidRPr="004140A6">
        <w:t>հարկային</w:t>
      </w:r>
      <w:r w:rsidRPr="00E94337">
        <w:rPr>
          <w:lang w:val="ru-RU"/>
        </w:rPr>
        <w:t xml:space="preserve"> </w:t>
      </w:r>
      <w:r w:rsidRPr="004140A6">
        <w:t>օրենսդրությունը</w:t>
      </w:r>
      <w:r w:rsidRPr="00E94337">
        <w:rPr>
          <w:lang w:val="ru-RU"/>
        </w:rPr>
        <w:t xml:space="preserve"> </w:t>
      </w:r>
      <w:r w:rsidRPr="004140A6">
        <w:t>խախտելու</w:t>
      </w:r>
      <w:r w:rsidRPr="00E94337">
        <w:rPr>
          <w:lang w:val="ru-RU"/>
        </w:rPr>
        <w:t xml:space="preserve"> </w:t>
      </w:r>
      <w:r w:rsidRPr="004140A6">
        <w:t>համար</w:t>
      </w:r>
      <w:r w:rsidRPr="00E94337">
        <w:rPr>
          <w:lang w:val="ru-RU"/>
        </w:rPr>
        <w:t xml:space="preserve"> </w:t>
      </w:r>
      <w:r w:rsidRPr="004140A6">
        <w:t>գանձվող</w:t>
      </w:r>
      <w:r w:rsidRPr="00E94337">
        <w:rPr>
          <w:lang w:val="ru-RU"/>
        </w:rPr>
        <w:t xml:space="preserve"> </w:t>
      </w:r>
      <w:r w:rsidRPr="004140A6">
        <w:t>տուգանքները</w:t>
      </w:r>
      <w:r w:rsidRPr="00E94337">
        <w:rPr>
          <w:lang w:val="ru-RU"/>
        </w:rPr>
        <w:t xml:space="preserve"> </w:t>
      </w:r>
      <w:r w:rsidRPr="004140A6">
        <w:t>և</w:t>
      </w:r>
      <w:r w:rsidRPr="00E94337">
        <w:rPr>
          <w:lang w:val="ru-RU"/>
        </w:rPr>
        <w:t xml:space="preserve"> </w:t>
      </w:r>
      <w:r w:rsidRPr="004140A6">
        <w:t>տույժերը</w:t>
      </w:r>
      <w:r w:rsidRPr="00E94337">
        <w:rPr>
          <w:lang w:val="ru-RU"/>
        </w:rPr>
        <w:t xml:space="preserve">, </w:t>
      </w:r>
      <w:r w:rsidRPr="004140A6">
        <w:t>ֆիզիկական</w:t>
      </w:r>
      <w:r w:rsidRPr="00E94337">
        <w:rPr>
          <w:lang w:val="ru-RU"/>
        </w:rPr>
        <w:t xml:space="preserve"> </w:t>
      </w:r>
      <w:r w:rsidRPr="004140A6">
        <w:t>անձանցից</w:t>
      </w:r>
      <w:r w:rsidRPr="00E94337">
        <w:rPr>
          <w:lang w:val="ru-RU"/>
        </w:rPr>
        <w:t xml:space="preserve"> </w:t>
      </w:r>
      <w:r w:rsidRPr="004140A6">
        <w:t>միասնական</w:t>
      </w:r>
      <w:r w:rsidRPr="00E94337">
        <w:rPr>
          <w:lang w:val="ru-RU"/>
        </w:rPr>
        <w:t xml:space="preserve"> </w:t>
      </w:r>
      <w:r w:rsidRPr="004140A6">
        <w:t>դրույքաչափով</w:t>
      </w:r>
      <w:r w:rsidRPr="00E94337">
        <w:rPr>
          <w:lang w:val="ru-RU"/>
        </w:rPr>
        <w:t xml:space="preserve"> </w:t>
      </w:r>
      <w:r w:rsidRPr="004140A6">
        <w:t>գանձվող</w:t>
      </w:r>
      <w:r w:rsidRPr="00E94337">
        <w:rPr>
          <w:lang w:val="ru-RU"/>
        </w:rPr>
        <w:t xml:space="preserve"> </w:t>
      </w:r>
      <w:r w:rsidRPr="004140A6">
        <w:t>մաքսատուրքերը</w:t>
      </w:r>
      <w:r w:rsidRPr="00E94337">
        <w:rPr>
          <w:lang w:val="ru-RU"/>
        </w:rPr>
        <w:t xml:space="preserve"> </w:t>
      </w:r>
      <w:r w:rsidRPr="004140A6">
        <w:t>և</w:t>
      </w:r>
      <w:r w:rsidRPr="00E94337">
        <w:rPr>
          <w:lang w:val="ru-RU"/>
        </w:rPr>
        <w:t xml:space="preserve"> </w:t>
      </w:r>
      <w:r w:rsidRPr="004140A6">
        <w:t>հարկերը</w:t>
      </w:r>
      <w:r w:rsidRPr="00E94337">
        <w:rPr>
          <w:lang w:val="ru-RU"/>
        </w:rPr>
        <w:t xml:space="preserve">, </w:t>
      </w:r>
      <w:r w:rsidRPr="004140A6">
        <w:t>դրոշմանիշային</w:t>
      </w:r>
      <w:r w:rsidRPr="00E94337">
        <w:rPr>
          <w:lang w:val="ru-RU"/>
        </w:rPr>
        <w:t xml:space="preserve"> </w:t>
      </w:r>
      <w:r w:rsidRPr="004140A6">
        <w:t>վճարները</w:t>
      </w:r>
      <w:r w:rsidRPr="00E94337">
        <w:rPr>
          <w:lang w:val="ru-RU"/>
        </w:rPr>
        <w:t xml:space="preserve"> </w:t>
      </w:r>
      <w:r w:rsidRPr="004140A6">
        <w:t>և</w:t>
      </w:r>
      <w:r w:rsidRPr="00E94337">
        <w:rPr>
          <w:lang w:val="ru-RU"/>
        </w:rPr>
        <w:t xml:space="preserve"> </w:t>
      </w:r>
      <w:r w:rsidRPr="004140A6">
        <w:t>այլ</w:t>
      </w:r>
      <w:r w:rsidRPr="00E94337">
        <w:rPr>
          <w:lang w:val="ru-RU"/>
        </w:rPr>
        <w:t xml:space="preserve"> </w:t>
      </w:r>
      <w:r w:rsidRPr="004140A6">
        <w:t>եկամուտները</w:t>
      </w:r>
    </w:p>
  </w:footnote>
  <w:footnote w:id="4">
    <w:p w14:paraId="3A6615A6" w14:textId="77777777" w:rsidR="00E57F66" w:rsidRPr="007C2C5E" w:rsidRDefault="00E57F66" w:rsidP="005D101C">
      <w:pPr>
        <w:pStyle w:val="FootnoteText"/>
        <w:rPr>
          <w:sz w:val="18"/>
          <w:szCs w:val="18"/>
          <w:lang w:val="hy-AM"/>
        </w:rPr>
      </w:pPr>
      <w:r w:rsidRPr="007C2C5E">
        <w:rPr>
          <w:rStyle w:val="FootnoteReference"/>
          <w:sz w:val="18"/>
          <w:szCs w:val="18"/>
        </w:rPr>
        <w:footnoteRef/>
      </w:r>
      <w:r w:rsidRPr="00AF1FA9">
        <w:rPr>
          <w:sz w:val="18"/>
          <w:szCs w:val="18"/>
          <w:lang w:val="ru-RU"/>
        </w:rPr>
        <w:t xml:space="preserve"> </w:t>
      </w:r>
      <w:r w:rsidRPr="007C2C5E">
        <w:rPr>
          <w:sz w:val="18"/>
          <w:szCs w:val="18"/>
          <w:lang w:val="hy-AM"/>
        </w:rPr>
        <w:t>Ներկայացնել առաջարկության բովանդակությունը /լրացվում է հաշվեքննողների կողմից/։</w:t>
      </w:r>
    </w:p>
  </w:footnote>
  <w:footnote w:id="5">
    <w:p w14:paraId="79595645" w14:textId="77777777" w:rsidR="00E57F66" w:rsidRPr="007C2C5E" w:rsidRDefault="00E57F66" w:rsidP="005D101C">
      <w:pPr>
        <w:pStyle w:val="FootnoteText"/>
        <w:rPr>
          <w:sz w:val="18"/>
          <w:szCs w:val="18"/>
          <w:lang w:val="hy-AM"/>
        </w:rPr>
      </w:pPr>
      <w:r w:rsidRPr="007C2C5E">
        <w:rPr>
          <w:rStyle w:val="FootnoteReference"/>
          <w:sz w:val="18"/>
          <w:szCs w:val="18"/>
        </w:rPr>
        <w:footnoteRef/>
      </w:r>
      <w:r w:rsidRPr="007C2C5E">
        <w:rPr>
          <w:sz w:val="18"/>
          <w:szCs w:val="18"/>
          <w:lang w:val="hy-AM"/>
        </w:rPr>
        <w:t xml:space="preserve"> </w:t>
      </w:r>
      <w:r w:rsidRPr="007C2C5E">
        <w:rPr>
          <w:sz w:val="18"/>
          <w:szCs w:val="18"/>
          <w:lang w:val="hy-AM"/>
        </w:rPr>
        <w:t xml:space="preserve">Ընտրել </w:t>
      </w:r>
      <w:r>
        <w:rPr>
          <w:sz w:val="18"/>
          <w:szCs w:val="18"/>
          <w:lang w:val="hy-AM"/>
        </w:rPr>
        <w:t>երկու</w:t>
      </w:r>
      <w:r w:rsidRPr="007C2C5E">
        <w:rPr>
          <w:sz w:val="18"/>
          <w:szCs w:val="18"/>
          <w:lang w:val="hy-AM"/>
        </w:rPr>
        <w:t xml:space="preserve"> տարբերակներից մեկը</w:t>
      </w:r>
      <w:r>
        <w:rPr>
          <w:sz w:val="18"/>
          <w:szCs w:val="18"/>
          <w:lang w:val="hy-AM"/>
        </w:rPr>
        <w:t>՝ համապատասխանաբար, առաջարկությունն ընդունելի կամ ոչ ընդունելի լինելու դեպքում</w:t>
      </w:r>
      <w:r w:rsidRPr="007C2C5E">
        <w:rPr>
          <w:sz w:val="18"/>
          <w:szCs w:val="18"/>
          <w:lang w:val="hy-AM"/>
        </w:rPr>
        <w:t xml:space="preserve"> /լրացվում է հաշվեքննության օբյեկտի ներկայացուցիչների կողմից/։</w:t>
      </w:r>
    </w:p>
  </w:footnote>
  <w:footnote w:id="6">
    <w:p w14:paraId="734F9484" w14:textId="77777777" w:rsidR="00E57F66" w:rsidRPr="007F0B03" w:rsidRDefault="00E57F66" w:rsidP="005D101C">
      <w:pPr>
        <w:pStyle w:val="FootnoteText"/>
        <w:rPr>
          <w:sz w:val="18"/>
          <w:szCs w:val="18"/>
          <w:lang w:val="hy-AM"/>
        </w:rPr>
      </w:pPr>
      <w:r w:rsidRPr="007F0B03">
        <w:rPr>
          <w:rStyle w:val="FootnoteReference"/>
        </w:rPr>
        <w:footnoteRef/>
      </w:r>
      <w:r w:rsidRPr="008C098C">
        <w:rPr>
          <w:rStyle w:val="FootnoteReference"/>
          <w:lang w:val="hy-AM"/>
        </w:rPr>
        <w:t xml:space="preserve"> </w:t>
      </w:r>
      <w:r w:rsidRPr="007F0B03">
        <w:rPr>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sz w:val="18"/>
          <w:szCs w:val="18"/>
          <w:lang w:val="hy-AM"/>
        </w:rPr>
        <w:t>լրացվում է հաշվեքննության օբյեկտի ներկայացուցիչների կողմից/։</w:t>
      </w:r>
    </w:p>
  </w:footnote>
  <w:footnote w:id="7">
    <w:p w14:paraId="4F018B1B" w14:textId="77777777" w:rsidR="00E57F66" w:rsidRPr="007C2C5E" w:rsidRDefault="00E57F66" w:rsidP="005D101C">
      <w:pPr>
        <w:pStyle w:val="FootnoteText"/>
        <w:rPr>
          <w:sz w:val="18"/>
          <w:szCs w:val="18"/>
          <w:lang w:val="hy-AM"/>
        </w:rPr>
      </w:pPr>
      <w:r w:rsidRPr="007F0B03">
        <w:rPr>
          <w:rStyle w:val="FootnoteReference"/>
        </w:rPr>
        <w:footnoteRef/>
      </w:r>
      <w:r w:rsidRPr="007C2C5E">
        <w:rPr>
          <w:sz w:val="18"/>
          <w:szCs w:val="18"/>
          <w:lang w:val="hy-AM"/>
        </w:rPr>
        <w:t xml:space="preserve"> </w:t>
      </w:r>
      <w:r w:rsidRPr="007C2C5E">
        <w:rPr>
          <w:sz w:val="18"/>
          <w:szCs w:val="18"/>
          <w:lang w:val="hy-AM"/>
        </w:rPr>
        <w:t>Ներկայացնել արդեն իսկ կատարված աշխատանքները</w:t>
      </w:r>
      <w:r>
        <w:rPr>
          <w:sz w:val="18"/>
          <w:szCs w:val="18"/>
          <w:lang w:val="hy-AM"/>
        </w:rPr>
        <w:t xml:space="preserve">, </w:t>
      </w:r>
      <w:r w:rsidRPr="007C2C5E">
        <w:rPr>
          <w:sz w:val="18"/>
          <w:szCs w:val="18"/>
          <w:lang w:val="hy-AM"/>
        </w:rPr>
        <w:t xml:space="preserve">պարզաբանումներ </w:t>
      </w:r>
      <w:r>
        <w:rPr>
          <w:sz w:val="18"/>
          <w:szCs w:val="18"/>
          <w:lang w:val="hy-AM"/>
        </w:rPr>
        <w:t xml:space="preserve">չընդունման և </w:t>
      </w:r>
      <w:r w:rsidRPr="007C2C5E">
        <w:rPr>
          <w:sz w:val="18"/>
          <w:szCs w:val="18"/>
          <w:lang w:val="hy-AM"/>
        </w:rPr>
        <w:t xml:space="preserve">չկատարման պատճառների վերաբերյալ՝ կցելով հիմնավորող փաստաթղթերը, ինչպես նաև գործողությունների ծրագիր՝ </w:t>
      </w:r>
      <w:r>
        <w:rPr>
          <w:sz w:val="18"/>
          <w:szCs w:val="18"/>
          <w:lang w:val="hy-AM"/>
        </w:rPr>
        <w:t xml:space="preserve">Հաշեքննիչ պալատի ներկայացրած առաջարկությունների </w:t>
      </w:r>
      <w:r w:rsidRPr="007C2C5E">
        <w:rPr>
          <w:sz w:val="18"/>
          <w:szCs w:val="18"/>
          <w:lang w:val="hy-AM"/>
        </w:rPr>
        <w:t>կատարման ժամանակացույցով ու պատասխանատուների ցանկով</w:t>
      </w:r>
      <w:r>
        <w:rPr>
          <w:sz w:val="18"/>
          <w:szCs w:val="18"/>
          <w:lang w:val="hy-AM"/>
        </w:rPr>
        <w:t xml:space="preserve"> </w:t>
      </w:r>
      <w:r w:rsidRPr="007C2C5E">
        <w:rPr>
          <w:sz w:val="18"/>
          <w:szCs w:val="18"/>
          <w:lang w:val="hy-AM"/>
        </w:rPr>
        <w:t xml:space="preserve">/լրացվում </w:t>
      </w:r>
      <w:r>
        <w:rPr>
          <w:sz w:val="18"/>
          <w:szCs w:val="18"/>
          <w:lang w:val="hy-AM"/>
        </w:rPr>
        <w:t xml:space="preserve">և ներկայացվում </w:t>
      </w:r>
      <w:r w:rsidRPr="007C2C5E">
        <w:rPr>
          <w:sz w:val="18"/>
          <w:szCs w:val="18"/>
          <w:lang w:val="hy-AM"/>
        </w:rPr>
        <w:t>է հաշվեքննության օբյեկտի ներկայացուցիչների կողմից/։</w:t>
      </w:r>
    </w:p>
  </w:footnote>
  <w:footnote w:id="8">
    <w:p w14:paraId="09426E18" w14:textId="77777777" w:rsidR="00E57F66" w:rsidRPr="007C2C5E" w:rsidRDefault="00E57F66" w:rsidP="005D101C">
      <w:pPr>
        <w:pStyle w:val="FootnoteText"/>
        <w:rPr>
          <w:sz w:val="18"/>
          <w:szCs w:val="18"/>
          <w:lang w:val="hy-AM"/>
        </w:rPr>
      </w:pPr>
      <w:r w:rsidRPr="007C2C5E">
        <w:rPr>
          <w:rStyle w:val="FootnoteReference"/>
          <w:sz w:val="18"/>
          <w:szCs w:val="18"/>
        </w:rPr>
        <w:footnoteRef/>
      </w:r>
      <w:r w:rsidRPr="000813B8">
        <w:rPr>
          <w:sz w:val="18"/>
          <w:szCs w:val="18"/>
          <w:lang w:val="hy-AM"/>
        </w:rPr>
        <w:t xml:space="preserve"> </w:t>
      </w:r>
      <w:r w:rsidRPr="007C2C5E">
        <w:rPr>
          <w:sz w:val="18"/>
          <w:szCs w:val="18"/>
          <w:lang w:val="hy-AM"/>
        </w:rPr>
        <w:t>Ներկայացնել անհամապատասխանության/խեղաթյուրման հակիրճ էությունը /լրացվում է հաշվեքննողների կողմից/։</w:t>
      </w:r>
    </w:p>
  </w:footnote>
  <w:footnote w:id="9">
    <w:p w14:paraId="548635AE" w14:textId="77777777" w:rsidR="00E57F66" w:rsidRPr="007C2C5E" w:rsidRDefault="00E57F66" w:rsidP="005D101C">
      <w:pPr>
        <w:pStyle w:val="FootnoteText"/>
        <w:rPr>
          <w:sz w:val="18"/>
          <w:szCs w:val="18"/>
          <w:lang w:val="hy-AM"/>
        </w:rPr>
      </w:pPr>
      <w:r w:rsidRPr="007C2C5E">
        <w:rPr>
          <w:rStyle w:val="FootnoteReference"/>
          <w:sz w:val="18"/>
          <w:szCs w:val="18"/>
        </w:rPr>
        <w:footnoteRef/>
      </w:r>
      <w:r w:rsidRPr="007C2C5E">
        <w:rPr>
          <w:sz w:val="18"/>
          <w:szCs w:val="18"/>
          <w:lang w:val="hy-AM"/>
        </w:rPr>
        <w:t xml:space="preserve"> </w:t>
      </w:r>
      <w:r w:rsidRPr="007C2C5E">
        <w:rPr>
          <w:sz w:val="18"/>
          <w:szCs w:val="18"/>
          <w:lang w:val="hy-AM"/>
        </w:rPr>
        <w:t>Ընտրել երեք տարբերակներից մեկը /լրացվում է հաշվեքննության օբյեկտի ներկայացուցիչների կողմից/։</w:t>
      </w:r>
    </w:p>
  </w:footnote>
  <w:footnote w:id="10">
    <w:p w14:paraId="3BC63F6F" w14:textId="77777777" w:rsidR="00E57F66" w:rsidRPr="007C2C5E" w:rsidRDefault="00E57F66" w:rsidP="005D101C">
      <w:pPr>
        <w:pStyle w:val="FootnoteText"/>
        <w:rPr>
          <w:sz w:val="18"/>
          <w:szCs w:val="18"/>
          <w:lang w:val="hy-AM"/>
        </w:rPr>
      </w:pPr>
      <w:r w:rsidRPr="007C2C5E">
        <w:rPr>
          <w:rStyle w:val="FootnoteReference"/>
          <w:sz w:val="18"/>
          <w:szCs w:val="18"/>
        </w:rPr>
        <w:footnoteRef/>
      </w:r>
      <w:r w:rsidRPr="007C2C5E">
        <w:rPr>
          <w:sz w:val="18"/>
          <w:szCs w:val="18"/>
          <w:lang w:val="hy-AM"/>
        </w:rPr>
        <w:t xml:space="preserve"> </w:t>
      </w:r>
      <w:r w:rsidRPr="007C2C5E">
        <w:rPr>
          <w:sz w:val="18"/>
          <w:szCs w:val="18"/>
          <w:lang w:val="hy-AM"/>
        </w:rPr>
        <w:t>Ներկայացնել արդեն իսկ կատարված աշխատանքները վերացման ուղղությամբ</w:t>
      </w:r>
      <w:r>
        <w:rPr>
          <w:sz w:val="18"/>
          <w:szCs w:val="18"/>
          <w:lang w:val="hy-AM"/>
        </w:rPr>
        <w:t xml:space="preserve">, </w:t>
      </w:r>
      <w:r w:rsidRPr="007C2C5E">
        <w:rPr>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sz w:val="18"/>
          <w:szCs w:val="18"/>
          <w:lang w:val="hy-AM"/>
        </w:rPr>
        <w:t xml:space="preserve"> </w:t>
      </w:r>
      <w:r w:rsidRPr="007C2C5E">
        <w:rPr>
          <w:sz w:val="18"/>
          <w:szCs w:val="18"/>
          <w:lang w:val="hy-AM"/>
        </w:rPr>
        <w:t xml:space="preserve">/լրացվում </w:t>
      </w:r>
      <w:r>
        <w:rPr>
          <w:sz w:val="18"/>
          <w:szCs w:val="18"/>
          <w:lang w:val="hy-AM"/>
        </w:rPr>
        <w:t xml:space="preserve">և ներկայացվում </w:t>
      </w:r>
      <w:r w:rsidRPr="007C2C5E">
        <w:rPr>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9280" w14:textId="77777777" w:rsidR="00E57F66" w:rsidRDefault="00E57F66" w:rsidP="00F940A3">
    <w:pPr>
      <w:pStyle w:val="Header"/>
      <w:tabs>
        <w:tab w:val="clear" w:pos="4680"/>
        <w:tab w:val="clear" w:pos="9360"/>
        <w:tab w:val="left" w:pos="8412"/>
      </w:tabs>
    </w:pPr>
    <w:r>
      <w:rPr>
        <w:noProof/>
      </w:rPr>
      <mc:AlternateContent>
        <mc:Choice Requires="wps">
          <w:drawing>
            <wp:anchor distT="228600" distB="228600" distL="114300" distR="114300" simplePos="0" relativeHeight="251660288" behindDoc="0" locked="0" layoutInCell="1" allowOverlap="0" wp14:anchorId="09317CA4" wp14:editId="4A874C29">
              <wp:simplePos x="0" y="0"/>
              <wp:positionH relativeFrom="margin">
                <wp:posOffset>5709285</wp:posOffset>
              </wp:positionH>
              <wp:positionV relativeFrom="page">
                <wp:posOffset>228600</wp:posOffset>
              </wp:positionV>
              <wp:extent cx="464820" cy="640080"/>
              <wp:effectExtent l="0" t="0" r="0" b="7620"/>
              <wp:wrapTopAndBottom/>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4820" cy="6400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144B8" w14:textId="24906D96" w:rsidR="00E57F66" w:rsidRPr="00564CAB" w:rsidRDefault="00E57F66" w:rsidP="00F940A3">
                          <w:pPr>
                            <w:pStyle w:val="Header"/>
                            <w:tabs>
                              <w:tab w:val="clear" w:pos="4680"/>
                              <w:tab w:val="clear" w:pos="9360"/>
                            </w:tabs>
                            <w:ind w:firstLine="0"/>
                            <w:rPr>
                              <w:color w:val="FFFFFF"/>
                              <w:szCs w:val="24"/>
                            </w:rPr>
                          </w:pPr>
                          <w:r w:rsidRPr="00564CAB">
                            <w:rPr>
                              <w:color w:val="FFFFFF"/>
                              <w:szCs w:val="24"/>
                            </w:rPr>
                            <w:fldChar w:fldCharType="begin"/>
                          </w:r>
                          <w:r w:rsidRPr="00564CAB">
                            <w:rPr>
                              <w:color w:val="FFFFFF"/>
                              <w:szCs w:val="24"/>
                            </w:rPr>
                            <w:instrText xml:space="preserve"> PAGE   \* MERGEFORMAT </w:instrText>
                          </w:r>
                          <w:r w:rsidRPr="00564CAB">
                            <w:rPr>
                              <w:color w:val="FFFFFF"/>
                              <w:szCs w:val="24"/>
                            </w:rPr>
                            <w:fldChar w:fldCharType="separate"/>
                          </w:r>
                          <w:r w:rsidR="00682F9D">
                            <w:rPr>
                              <w:noProof/>
                              <w:color w:val="FFFFFF"/>
                              <w:szCs w:val="24"/>
                            </w:rPr>
                            <w:t>7</w:t>
                          </w:r>
                          <w:r w:rsidRPr="00564CAB">
                            <w:rPr>
                              <w:noProof/>
                              <w:color w:val="FFFFFF"/>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317CA4" id="Rectangle 4" o:spid="_x0000_s1026" style="position:absolute;left:0;text-align:left;margin-left:449.55pt;margin-top:18pt;width:36.6pt;height:50.4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" o:allowoverlap="f" fillcolor="#5b9bd5 [3204]" stroked="f" strokeweight="1pt">
              <v:path arrowok="t"/>
              <o:lock v:ext="edit" aspectratio="t"/>
              <v:textbox>
                <w:txbxContent>
                  <w:p w14:paraId="20F144B8" w14:textId="24906D96" w:rsidR="00E57F66" w:rsidRPr="00564CAB" w:rsidRDefault="00E57F66" w:rsidP="00F940A3">
                    <w:pPr>
                      <w:pStyle w:val="Header"/>
                      <w:tabs>
                        <w:tab w:val="clear" w:pos="4680"/>
                        <w:tab w:val="clear" w:pos="9360"/>
                      </w:tabs>
                      <w:ind w:firstLine="0"/>
                      <w:rPr>
                        <w:color w:val="FFFFFF"/>
                        <w:szCs w:val="24"/>
                      </w:rPr>
                    </w:pPr>
                    <w:r w:rsidRPr="00564CAB">
                      <w:rPr>
                        <w:color w:val="FFFFFF"/>
                        <w:szCs w:val="24"/>
                      </w:rPr>
                      <w:fldChar w:fldCharType="begin"/>
                    </w:r>
                    <w:r w:rsidRPr="00564CAB">
                      <w:rPr>
                        <w:color w:val="FFFFFF"/>
                        <w:szCs w:val="24"/>
                      </w:rPr>
                      <w:instrText xml:space="preserve"> PAGE   \* MERGEFORMAT </w:instrText>
                    </w:r>
                    <w:r w:rsidRPr="00564CAB">
                      <w:rPr>
                        <w:color w:val="FFFFFF"/>
                        <w:szCs w:val="24"/>
                      </w:rPr>
                      <w:fldChar w:fldCharType="separate"/>
                    </w:r>
                    <w:r w:rsidR="00682F9D">
                      <w:rPr>
                        <w:noProof/>
                        <w:color w:val="FFFFFF"/>
                        <w:szCs w:val="24"/>
                      </w:rPr>
                      <w:t>7</w:t>
                    </w:r>
                    <w:r w:rsidRPr="00564CAB">
                      <w:rPr>
                        <w:noProof/>
                        <w:color w:val="FFFFFF"/>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682B2" w14:textId="77777777" w:rsidR="00E57F66" w:rsidRPr="00464ED2" w:rsidRDefault="00E57F66" w:rsidP="00F940A3">
    <w:pPr>
      <w:tabs>
        <w:tab w:val="center" w:pos="4680"/>
        <w:tab w:val="right" w:pos="9360"/>
      </w:tabs>
      <w:spacing w:before="0" w:after="0" w:line="240" w:lineRule="auto"/>
      <w:ind w:firstLine="709"/>
      <w:jc w:val="right"/>
      <w:rPr>
        <w:i/>
        <w:sz w:val="20"/>
        <w:szCs w:val="20"/>
        <w:lang w:val="hy-AM"/>
      </w:rPr>
    </w:pPr>
    <w:r w:rsidRPr="00464ED2">
      <w:rPr>
        <w:i/>
        <w:sz w:val="20"/>
        <w:szCs w:val="20"/>
        <w:lang w:val="hy-AM"/>
      </w:rPr>
      <w:t>Հավելված</w:t>
    </w:r>
  </w:p>
  <w:p w14:paraId="38A0C706" w14:textId="77777777" w:rsidR="00E57F66" w:rsidRPr="00464ED2" w:rsidRDefault="00E57F66" w:rsidP="00F940A3">
    <w:pPr>
      <w:tabs>
        <w:tab w:val="center" w:pos="4680"/>
        <w:tab w:val="right" w:pos="9360"/>
      </w:tabs>
      <w:spacing w:before="0" w:after="0" w:line="240" w:lineRule="auto"/>
      <w:ind w:firstLine="709"/>
      <w:jc w:val="right"/>
      <w:rPr>
        <w:i/>
        <w:sz w:val="20"/>
        <w:szCs w:val="20"/>
        <w:lang w:val="hy-AM"/>
      </w:rPr>
    </w:pPr>
    <w:r w:rsidRPr="005D101C">
      <w:rPr>
        <w:i/>
        <w:sz w:val="20"/>
        <w:szCs w:val="20"/>
        <w:lang w:val="hy-AM"/>
      </w:rPr>
      <w:t>Հ</w:t>
    </w:r>
    <w:r w:rsidRPr="00464ED2">
      <w:rPr>
        <w:i/>
        <w:sz w:val="20"/>
        <w:szCs w:val="20"/>
        <w:lang w:val="hy-AM"/>
      </w:rPr>
      <w:t>աշվեքննիչ պալատի</w:t>
    </w:r>
  </w:p>
  <w:p w14:paraId="0AFFFB4A" w14:textId="356537BD" w:rsidR="00E57F66" w:rsidRPr="00B9053A" w:rsidRDefault="00E57F66" w:rsidP="00F940A3">
    <w:pPr>
      <w:tabs>
        <w:tab w:val="center" w:pos="4680"/>
        <w:tab w:val="right" w:pos="9360"/>
      </w:tabs>
      <w:spacing w:before="0" w:after="0" w:line="240" w:lineRule="auto"/>
      <w:ind w:firstLine="709"/>
      <w:jc w:val="right"/>
      <w:rPr>
        <w:i/>
        <w:sz w:val="20"/>
        <w:szCs w:val="20"/>
        <w:lang w:val="hy-AM"/>
      </w:rPr>
    </w:pPr>
    <w:r>
      <w:rPr>
        <w:i/>
        <w:sz w:val="20"/>
        <w:szCs w:val="20"/>
        <w:lang w:val="hy-AM"/>
      </w:rPr>
      <w:t>2024</w:t>
    </w:r>
    <w:r w:rsidR="001830F5" w:rsidRPr="001830F5">
      <w:rPr>
        <w:i/>
        <w:sz w:val="20"/>
        <w:szCs w:val="20"/>
        <w:lang w:val="hy-AM"/>
      </w:rPr>
      <w:t xml:space="preserve"> </w:t>
    </w:r>
    <w:r w:rsidRPr="00464ED2">
      <w:rPr>
        <w:i/>
        <w:sz w:val="20"/>
        <w:szCs w:val="20"/>
        <w:lang w:val="hy-AM"/>
      </w:rPr>
      <w:t>թ</w:t>
    </w:r>
    <w:r w:rsidR="001830F5">
      <w:rPr>
        <w:i/>
        <w:sz w:val="20"/>
        <w:szCs w:val="20"/>
        <w:lang w:val="hy-AM"/>
      </w:rPr>
      <w:t>վականի ապրիլի 30</w:t>
    </w:r>
    <w:r w:rsidRPr="00464ED2">
      <w:rPr>
        <w:i/>
        <w:sz w:val="20"/>
        <w:szCs w:val="20"/>
        <w:lang w:val="hy-AM"/>
      </w:rPr>
      <w:t>-ի թիվ</w:t>
    </w:r>
    <w:r>
      <w:rPr>
        <w:i/>
        <w:sz w:val="20"/>
        <w:szCs w:val="20"/>
        <w:lang w:val="hy-AM"/>
      </w:rPr>
      <w:t xml:space="preserve"> </w:t>
    </w:r>
    <w:r w:rsidR="001830F5" w:rsidRPr="001830F5">
      <w:rPr>
        <w:i/>
        <w:sz w:val="20"/>
        <w:szCs w:val="20"/>
        <w:lang w:val="hy-AM"/>
      </w:rPr>
      <w:t>55</w:t>
    </w:r>
    <w:r w:rsidRPr="00D76A1F">
      <w:rPr>
        <w:i/>
        <w:sz w:val="20"/>
        <w:szCs w:val="20"/>
        <w:lang w:val="hy-AM"/>
      </w:rPr>
      <w:t>-Ա</w:t>
    </w:r>
    <w:r w:rsidRPr="00464ED2">
      <w:rPr>
        <w:i/>
        <w:sz w:val="20"/>
        <w:szCs w:val="20"/>
        <w:lang w:val="hy-AM"/>
      </w:rPr>
      <w:t xml:space="preserve"> որոշման</w:t>
    </w:r>
  </w:p>
  <w:p w14:paraId="1957EBA6" w14:textId="77777777" w:rsidR="00E57F66" w:rsidRPr="00842BEB" w:rsidRDefault="00E57F66">
    <w:pPr>
      <w:pStyle w:val="Header"/>
      <w:rPr>
        <w:lang w:val="hy-AM"/>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E901E" w14:textId="77777777" w:rsidR="00E57F66" w:rsidRDefault="00E57F66">
    <w:pPr>
      <w:pStyle w:val="Header"/>
    </w:pPr>
    <w:r>
      <w:rPr>
        <w:noProof/>
      </w:rPr>
      <mc:AlternateContent>
        <mc:Choice Requires="wps">
          <w:drawing>
            <wp:anchor distT="228600" distB="228600" distL="114300" distR="114300" simplePos="0" relativeHeight="251659264" behindDoc="0" locked="0" layoutInCell="1" allowOverlap="0" wp14:anchorId="43819DA8" wp14:editId="5E8A0AEC">
              <wp:simplePos x="0" y="0"/>
              <wp:positionH relativeFrom="margin">
                <wp:posOffset>5350510</wp:posOffset>
              </wp:positionH>
              <wp:positionV relativeFrom="page">
                <wp:posOffset>228600</wp:posOffset>
              </wp:positionV>
              <wp:extent cx="422910" cy="668655"/>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2910" cy="6686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A4FEB" w14:textId="711B8635" w:rsidR="00E57F66" w:rsidRPr="00691572" w:rsidRDefault="00E57F66" w:rsidP="00F940A3">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3A5F5F">
                            <w:rPr>
                              <w:noProof/>
                              <w:color w:val="FFFFFF" w:themeColor="background1"/>
                              <w:sz w:val="22"/>
                              <w:szCs w:val="24"/>
                            </w:rPr>
                            <w:t>33</w:t>
                          </w:r>
                          <w:r w:rsidRPr="00691572">
                            <w:rPr>
                              <w:noProof/>
                              <w:color w:val="FFFFFF" w:themeColor="background1"/>
                              <w:sz w:val="22"/>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819DA8" id="Rectangle 133" o:spid="_x0000_s1027" style="position:absolute;left:0;text-align:left;margin-left:421.3pt;margin-top:18pt;width:33.3pt;height:52.6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" o:allowoverlap="f" fillcolor="#5b9bd5 [3204]" stroked="f" strokeweight="1pt">
              <v:path arrowok="t"/>
              <o:lock v:ext="edit" aspectratio="t"/>
              <v:textbox>
                <w:txbxContent>
                  <w:p w14:paraId="2B8A4FEB" w14:textId="711B8635" w:rsidR="00E57F66" w:rsidRPr="00691572" w:rsidRDefault="00E57F66" w:rsidP="00F940A3">
                    <w:pPr>
                      <w:pStyle w:val="Header"/>
                      <w:tabs>
                        <w:tab w:val="clear" w:pos="4680"/>
                        <w:tab w:val="clear" w:pos="9360"/>
                      </w:tabs>
                      <w:ind w:firstLine="0"/>
                      <w:jc w:val="center"/>
                      <w:rPr>
                        <w:color w:val="FFFFFF" w:themeColor="background1"/>
                        <w:sz w:val="22"/>
                        <w:szCs w:val="24"/>
                      </w:rPr>
                    </w:pPr>
                    <w:r w:rsidRPr="00691572">
                      <w:rPr>
                        <w:color w:val="FFFFFF" w:themeColor="background1"/>
                        <w:sz w:val="22"/>
                        <w:szCs w:val="24"/>
                      </w:rPr>
                      <w:fldChar w:fldCharType="begin"/>
                    </w:r>
                    <w:r w:rsidRPr="00691572">
                      <w:rPr>
                        <w:color w:val="FFFFFF" w:themeColor="background1"/>
                        <w:sz w:val="22"/>
                        <w:szCs w:val="24"/>
                      </w:rPr>
                      <w:instrText xml:space="preserve"> PAGE   \* MERGEFORMAT </w:instrText>
                    </w:r>
                    <w:r w:rsidRPr="00691572">
                      <w:rPr>
                        <w:color w:val="FFFFFF" w:themeColor="background1"/>
                        <w:sz w:val="22"/>
                        <w:szCs w:val="24"/>
                      </w:rPr>
                      <w:fldChar w:fldCharType="separate"/>
                    </w:r>
                    <w:r w:rsidR="003A5F5F">
                      <w:rPr>
                        <w:noProof/>
                        <w:color w:val="FFFFFF" w:themeColor="background1"/>
                        <w:sz w:val="22"/>
                        <w:szCs w:val="24"/>
                      </w:rPr>
                      <w:t>33</w:t>
                    </w:r>
                    <w:r w:rsidRPr="00691572">
                      <w:rPr>
                        <w:noProof/>
                        <w:color w:val="FFFFFF" w:themeColor="background1"/>
                        <w:sz w:val="22"/>
                        <w:szCs w:val="24"/>
                      </w:rPr>
                      <w:fldChar w:fldCharType="end"/>
                    </w:r>
                  </w:p>
                </w:txbxContent>
              </v:textbox>
              <w10:wrap type="topAndBottom" anchorx="margin" anchory="page"/>
            </v:rec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5C2C" w14:textId="77777777" w:rsidR="00E57F66" w:rsidRPr="00B625A1" w:rsidRDefault="00E57F66">
    <w:pPr>
      <w:pStyle w:val="Header"/>
      <w:rPr>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6B2"/>
    <w:multiLevelType w:val="hybridMultilevel"/>
    <w:tmpl w:val="47F27166"/>
    <w:lvl w:ilvl="0" w:tplc="E1925F24">
      <w:start w:val="1"/>
      <w:numFmt w:val="upperRoman"/>
      <w:pStyle w:val="Heading1"/>
      <w:lvlText w:val="%1."/>
      <w:lvlJc w:val="right"/>
      <w:pPr>
        <w:ind w:left="1495" w:hanging="360"/>
      </w:pPr>
      <w:rPr>
        <w:sz w:val="28"/>
      </w:rPr>
    </w:lvl>
    <w:lvl w:ilvl="1" w:tplc="08090019">
      <w:start w:val="1"/>
      <w:numFmt w:val="lowerLetter"/>
      <w:lvlText w:val="%2."/>
      <w:lvlJc w:val="left"/>
      <w:pPr>
        <w:ind w:left="-2015" w:hanging="360"/>
      </w:pPr>
    </w:lvl>
    <w:lvl w:ilvl="2" w:tplc="0809001B">
      <w:start w:val="1"/>
      <w:numFmt w:val="lowerRoman"/>
      <w:lvlText w:val="%3."/>
      <w:lvlJc w:val="right"/>
      <w:pPr>
        <w:ind w:left="-1295" w:hanging="180"/>
      </w:pPr>
    </w:lvl>
    <w:lvl w:ilvl="3" w:tplc="E95E7F26">
      <w:start w:val="1"/>
      <w:numFmt w:val="decimal"/>
      <w:lvlText w:val="%4."/>
      <w:lvlJc w:val="left"/>
      <w:pPr>
        <w:ind w:left="77" w:hanging="360"/>
      </w:pPr>
      <w:rPr>
        <w:color w:val="auto"/>
      </w:rPr>
    </w:lvl>
    <w:lvl w:ilvl="4" w:tplc="08090019">
      <w:start w:val="1"/>
      <w:numFmt w:val="lowerLetter"/>
      <w:lvlText w:val="%5."/>
      <w:lvlJc w:val="left"/>
      <w:pPr>
        <w:ind w:left="145" w:hanging="360"/>
      </w:pPr>
    </w:lvl>
    <w:lvl w:ilvl="5" w:tplc="0809001B">
      <w:start w:val="1"/>
      <w:numFmt w:val="lowerRoman"/>
      <w:lvlText w:val="%6."/>
      <w:lvlJc w:val="right"/>
      <w:pPr>
        <w:ind w:left="865" w:hanging="180"/>
      </w:pPr>
    </w:lvl>
    <w:lvl w:ilvl="6" w:tplc="0809000F">
      <w:start w:val="1"/>
      <w:numFmt w:val="decimal"/>
      <w:lvlText w:val="%7."/>
      <w:lvlJc w:val="left"/>
      <w:pPr>
        <w:ind w:left="1585" w:hanging="360"/>
      </w:pPr>
    </w:lvl>
    <w:lvl w:ilvl="7" w:tplc="08090019">
      <w:start w:val="1"/>
      <w:numFmt w:val="lowerLetter"/>
      <w:lvlText w:val="%8."/>
      <w:lvlJc w:val="left"/>
      <w:pPr>
        <w:ind w:left="2305" w:hanging="360"/>
      </w:pPr>
    </w:lvl>
    <w:lvl w:ilvl="8" w:tplc="0809001B">
      <w:start w:val="1"/>
      <w:numFmt w:val="lowerRoman"/>
      <w:lvlText w:val="%9."/>
      <w:lvlJc w:val="right"/>
      <w:pPr>
        <w:ind w:left="3025" w:hanging="180"/>
      </w:pPr>
    </w:lvl>
  </w:abstractNum>
  <w:abstractNum w:abstractNumId="1" w15:restartNumberingAfterBreak="0">
    <w:nsid w:val="1AF61399"/>
    <w:multiLevelType w:val="hybridMultilevel"/>
    <w:tmpl w:val="1A8AA99A"/>
    <w:lvl w:ilvl="0" w:tplc="E95E7F26">
      <w:start w:val="1"/>
      <w:numFmt w:val="decimal"/>
      <w:lvlText w:val="%1."/>
      <w:lvlJc w:val="left"/>
      <w:pPr>
        <w:ind w:left="7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C43DF"/>
    <w:multiLevelType w:val="hybridMultilevel"/>
    <w:tmpl w:val="26784E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C7860DD"/>
    <w:multiLevelType w:val="multilevel"/>
    <w:tmpl w:val="352E91E8"/>
    <w:lvl w:ilvl="0">
      <w:start w:val="1"/>
      <w:numFmt w:val="decimal"/>
      <w:lvlText w:val="%1."/>
      <w:lvlJc w:val="left"/>
      <w:pPr>
        <w:ind w:left="800" w:hanging="360"/>
      </w:pPr>
      <w:rPr>
        <w:b/>
      </w:rPr>
    </w:lvl>
    <w:lvl w:ilvl="1">
      <w:start w:val="47"/>
      <w:numFmt w:val="decimal"/>
      <w:isLgl/>
      <w:lvlText w:val="%1.%2"/>
      <w:lvlJc w:val="left"/>
      <w:pPr>
        <w:ind w:left="1512" w:hanging="7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576" w:hanging="1080"/>
      </w:pPr>
      <w:rPr>
        <w:rFonts w:hint="default"/>
      </w:rPr>
    </w:lvl>
    <w:lvl w:ilvl="4">
      <w:start w:val="1"/>
      <w:numFmt w:val="decimal"/>
      <w:isLgl/>
      <w:lvlText w:val="%1.%2.%3.%4.%5"/>
      <w:lvlJc w:val="left"/>
      <w:pPr>
        <w:ind w:left="3288" w:hanging="144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04" w:hanging="1800"/>
      </w:pPr>
      <w:rPr>
        <w:rFonts w:hint="default"/>
      </w:rPr>
    </w:lvl>
    <w:lvl w:ilvl="8">
      <w:start w:val="1"/>
      <w:numFmt w:val="decimal"/>
      <w:isLgl/>
      <w:lvlText w:val="%1.%2.%3.%4.%5.%6.%7.%8.%9"/>
      <w:lvlJc w:val="left"/>
      <w:pPr>
        <w:ind w:left="5416" w:hanging="2160"/>
      </w:pPr>
      <w:rPr>
        <w:rFonts w:hint="default"/>
      </w:rPr>
    </w:lvl>
  </w:abstractNum>
  <w:abstractNum w:abstractNumId="4" w15:restartNumberingAfterBreak="0">
    <w:nsid w:val="65147B59"/>
    <w:multiLevelType w:val="hybridMultilevel"/>
    <w:tmpl w:val="745A0A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C"/>
    <w:rsid w:val="000060D2"/>
    <w:rsid w:val="00025986"/>
    <w:rsid w:val="00032556"/>
    <w:rsid w:val="00032CC8"/>
    <w:rsid w:val="00050FF7"/>
    <w:rsid w:val="00060F19"/>
    <w:rsid w:val="00061E78"/>
    <w:rsid w:val="00080512"/>
    <w:rsid w:val="000C37B2"/>
    <w:rsid w:val="000E1134"/>
    <w:rsid w:val="000E39E8"/>
    <w:rsid w:val="000F08C1"/>
    <w:rsid w:val="000F4E4C"/>
    <w:rsid w:val="000F7CB5"/>
    <w:rsid w:val="001072A8"/>
    <w:rsid w:val="001242A6"/>
    <w:rsid w:val="0015132B"/>
    <w:rsid w:val="00164F15"/>
    <w:rsid w:val="00176E15"/>
    <w:rsid w:val="001830F5"/>
    <w:rsid w:val="001A5928"/>
    <w:rsid w:val="001D1FB3"/>
    <w:rsid w:val="001D240A"/>
    <w:rsid w:val="001F317F"/>
    <w:rsid w:val="00213A1F"/>
    <w:rsid w:val="00233C35"/>
    <w:rsid w:val="00235BAF"/>
    <w:rsid w:val="0025006D"/>
    <w:rsid w:val="00265D80"/>
    <w:rsid w:val="0027071F"/>
    <w:rsid w:val="00275024"/>
    <w:rsid w:val="00275328"/>
    <w:rsid w:val="00291186"/>
    <w:rsid w:val="00296643"/>
    <w:rsid w:val="002B2B23"/>
    <w:rsid w:val="002C2097"/>
    <w:rsid w:val="002D126A"/>
    <w:rsid w:val="002E2077"/>
    <w:rsid w:val="002E74C6"/>
    <w:rsid w:val="002F7C43"/>
    <w:rsid w:val="00340499"/>
    <w:rsid w:val="003523E2"/>
    <w:rsid w:val="00355594"/>
    <w:rsid w:val="003564E2"/>
    <w:rsid w:val="00361517"/>
    <w:rsid w:val="00363E9B"/>
    <w:rsid w:val="003A5F5F"/>
    <w:rsid w:val="003A768C"/>
    <w:rsid w:val="003B4479"/>
    <w:rsid w:val="003C0E90"/>
    <w:rsid w:val="003C121F"/>
    <w:rsid w:val="003D379F"/>
    <w:rsid w:val="003E79A9"/>
    <w:rsid w:val="003F37AC"/>
    <w:rsid w:val="003F4540"/>
    <w:rsid w:val="003F7459"/>
    <w:rsid w:val="00402209"/>
    <w:rsid w:val="004066F9"/>
    <w:rsid w:val="004073B9"/>
    <w:rsid w:val="004140A6"/>
    <w:rsid w:val="004232D8"/>
    <w:rsid w:val="00436FEC"/>
    <w:rsid w:val="004374B8"/>
    <w:rsid w:val="0044007A"/>
    <w:rsid w:val="0044029B"/>
    <w:rsid w:val="004624A6"/>
    <w:rsid w:val="004931E0"/>
    <w:rsid w:val="004976E0"/>
    <w:rsid w:val="004B35C5"/>
    <w:rsid w:val="004B77EC"/>
    <w:rsid w:val="004C7046"/>
    <w:rsid w:val="00525787"/>
    <w:rsid w:val="00536B88"/>
    <w:rsid w:val="00540025"/>
    <w:rsid w:val="00570F19"/>
    <w:rsid w:val="00577F88"/>
    <w:rsid w:val="005A1059"/>
    <w:rsid w:val="005A125B"/>
    <w:rsid w:val="005B44BF"/>
    <w:rsid w:val="005B54FF"/>
    <w:rsid w:val="005D101C"/>
    <w:rsid w:val="005D14EC"/>
    <w:rsid w:val="00614346"/>
    <w:rsid w:val="006317C8"/>
    <w:rsid w:val="006556DC"/>
    <w:rsid w:val="00660B31"/>
    <w:rsid w:val="006662D9"/>
    <w:rsid w:val="00671B4E"/>
    <w:rsid w:val="00675FF8"/>
    <w:rsid w:val="00676C8A"/>
    <w:rsid w:val="00682F9D"/>
    <w:rsid w:val="00692ECA"/>
    <w:rsid w:val="006B0148"/>
    <w:rsid w:val="006B7309"/>
    <w:rsid w:val="006F18EB"/>
    <w:rsid w:val="00726488"/>
    <w:rsid w:val="0075431B"/>
    <w:rsid w:val="0077391C"/>
    <w:rsid w:val="00780487"/>
    <w:rsid w:val="00787775"/>
    <w:rsid w:val="00791E64"/>
    <w:rsid w:val="00796DF4"/>
    <w:rsid w:val="007C5F86"/>
    <w:rsid w:val="007D25C6"/>
    <w:rsid w:val="007F79E3"/>
    <w:rsid w:val="00800F96"/>
    <w:rsid w:val="00805907"/>
    <w:rsid w:val="00850CFA"/>
    <w:rsid w:val="00873AED"/>
    <w:rsid w:val="0087416B"/>
    <w:rsid w:val="008A058A"/>
    <w:rsid w:val="008A0ED7"/>
    <w:rsid w:val="008D3AF7"/>
    <w:rsid w:val="008E7C43"/>
    <w:rsid w:val="008F0DD9"/>
    <w:rsid w:val="008F3F4B"/>
    <w:rsid w:val="00911B0A"/>
    <w:rsid w:val="00913046"/>
    <w:rsid w:val="00916061"/>
    <w:rsid w:val="00920045"/>
    <w:rsid w:val="00960351"/>
    <w:rsid w:val="009664D9"/>
    <w:rsid w:val="009D13CB"/>
    <w:rsid w:val="009E2377"/>
    <w:rsid w:val="009E32F5"/>
    <w:rsid w:val="009F13CA"/>
    <w:rsid w:val="009F7147"/>
    <w:rsid w:val="00A23F8D"/>
    <w:rsid w:val="00A4663C"/>
    <w:rsid w:val="00A56DCB"/>
    <w:rsid w:val="00A63664"/>
    <w:rsid w:val="00A71B8F"/>
    <w:rsid w:val="00A7489A"/>
    <w:rsid w:val="00A84FAC"/>
    <w:rsid w:val="00A90027"/>
    <w:rsid w:val="00A95A3F"/>
    <w:rsid w:val="00AB1D34"/>
    <w:rsid w:val="00AC5831"/>
    <w:rsid w:val="00B01119"/>
    <w:rsid w:val="00B07A0D"/>
    <w:rsid w:val="00B07AD9"/>
    <w:rsid w:val="00B11B30"/>
    <w:rsid w:val="00B23A1C"/>
    <w:rsid w:val="00B30B75"/>
    <w:rsid w:val="00B32822"/>
    <w:rsid w:val="00B54092"/>
    <w:rsid w:val="00B674F2"/>
    <w:rsid w:val="00B8275B"/>
    <w:rsid w:val="00B97C4B"/>
    <w:rsid w:val="00BA4F76"/>
    <w:rsid w:val="00BA769F"/>
    <w:rsid w:val="00BC4212"/>
    <w:rsid w:val="00BF5873"/>
    <w:rsid w:val="00BF7D8F"/>
    <w:rsid w:val="00C03518"/>
    <w:rsid w:val="00C138C6"/>
    <w:rsid w:val="00C2794B"/>
    <w:rsid w:val="00C34777"/>
    <w:rsid w:val="00C452FD"/>
    <w:rsid w:val="00C47EA4"/>
    <w:rsid w:val="00C652BA"/>
    <w:rsid w:val="00C77F55"/>
    <w:rsid w:val="00CC6DA4"/>
    <w:rsid w:val="00CD1401"/>
    <w:rsid w:val="00D04C46"/>
    <w:rsid w:val="00D11847"/>
    <w:rsid w:val="00D45409"/>
    <w:rsid w:val="00D56CD5"/>
    <w:rsid w:val="00D869C6"/>
    <w:rsid w:val="00D909AF"/>
    <w:rsid w:val="00DB08CF"/>
    <w:rsid w:val="00DB40B5"/>
    <w:rsid w:val="00DC013B"/>
    <w:rsid w:val="00DC76D9"/>
    <w:rsid w:val="00DD6EEA"/>
    <w:rsid w:val="00DF539E"/>
    <w:rsid w:val="00E049B1"/>
    <w:rsid w:val="00E0533C"/>
    <w:rsid w:val="00E11B59"/>
    <w:rsid w:val="00E20057"/>
    <w:rsid w:val="00E22E66"/>
    <w:rsid w:val="00E57CF4"/>
    <w:rsid w:val="00E57F66"/>
    <w:rsid w:val="00E877EA"/>
    <w:rsid w:val="00E9366C"/>
    <w:rsid w:val="00E94337"/>
    <w:rsid w:val="00E950C1"/>
    <w:rsid w:val="00EB3A3A"/>
    <w:rsid w:val="00EC274F"/>
    <w:rsid w:val="00EE3BA9"/>
    <w:rsid w:val="00F13B24"/>
    <w:rsid w:val="00F153EE"/>
    <w:rsid w:val="00F16BEC"/>
    <w:rsid w:val="00F35F26"/>
    <w:rsid w:val="00F37174"/>
    <w:rsid w:val="00F80336"/>
    <w:rsid w:val="00F8143F"/>
    <w:rsid w:val="00F940A3"/>
    <w:rsid w:val="00F97527"/>
    <w:rsid w:val="00FA2EBB"/>
    <w:rsid w:val="00FB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D391"/>
  <w15:chartTrackingRefBased/>
  <w15:docId w15:val="{80C61D07-99C8-4DAE-B4FE-94D4864F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3CB"/>
    <w:pPr>
      <w:spacing w:before="120" w:after="120" w:line="276" w:lineRule="auto"/>
      <w:ind w:firstLine="708"/>
      <w:jc w:val="both"/>
    </w:pPr>
    <w:rPr>
      <w:rFonts w:ascii="GHEA Grapalat" w:eastAsia="SimSun" w:hAnsi="GHEA Grapalat" w:cs="Times New Roman"/>
      <w:sz w:val="24"/>
    </w:rPr>
  </w:style>
  <w:style w:type="paragraph" w:styleId="Heading1">
    <w:name w:val="heading 1"/>
    <w:basedOn w:val="Normal"/>
    <w:next w:val="Normal"/>
    <w:link w:val="Heading1Char"/>
    <w:uiPriority w:val="9"/>
    <w:qFormat/>
    <w:rsid w:val="005D101C"/>
    <w:pPr>
      <w:numPr>
        <w:numId w:val="1"/>
      </w:numPr>
      <w:spacing w:before="0" w:line="240" w:lineRule="auto"/>
      <w:ind w:right="29"/>
      <w:jc w:val="center"/>
      <w:outlineLvl w:val="0"/>
    </w:pPr>
    <w:rPr>
      <w:b/>
      <w:bCs/>
      <w:color w:val="000000"/>
      <w:sz w:val="28"/>
      <w:szCs w:val="28"/>
      <w:lang w:val="ru-RU"/>
    </w:rPr>
  </w:style>
  <w:style w:type="paragraph" w:styleId="Heading2">
    <w:name w:val="heading 2"/>
    <w:basedOn w:val="Normal"/>
    <w:next w:val="Normal"/>
    <w:link w:val="Heading2Char"/>
    <w:uiPriority w:val="9"/>
    <w:unhideWhenUsed/>
    <w:qFormat/>
    <w:rsid w:val="00787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D101C"/>
    <w:pPr>
      <w:keepNext/>
      <w:keepLines/>
      <w:spacing w:before="40" w:after="0" w:line="259" w:lineRule="auto"/>
      <w:ind w:firstLine="0"/>
      <w:jc w:val="left"/>
      <w:outlineLvl w:val="3"/>
    </w:pPr>
    <w:rPr>
      <w:rFonts w:eastAsiaTheme="majorEastAsia" w:cstheme="majorBidi"/>
      <w:b/>
      <w:iCs/>
      <w:color w:val="002060"/>
      <w:sz w:val="26"/>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01C"/>
    <w:rPr>
      <w:rFonts w:ascii="GHEA Grapalat" w:eastAsia="SimSun" w:hAnsi="GHEA Grapalat" w:cs="Times New Roman"/>
      <w:b/>
      <w:bCs/>
      <w:color w:val="000000"/>
      <w:sz w:val="28"/>
      <w:szCs w:val="28"/>
      <w:lang w:val="ru-RU"/>
    </w:rPr>
  </w:style>
  <w:style w:type="character" w:customStyle="1" w:styleId="Heading4Char">
    <w:name w:val="Heading 4 Char"/>
    <w:basedOn w:val="DefaultParagraphFont"/>
    <w:link w:val="Heading4"/>
    <w:uiPriority w:val="9"/>
    <w:rsid w:val="005D101C"/>
    <w:rPr>
      <w:rFonts w:ascii="GHEA Grapalat" w:eastAsiaTheme="majorEastAsia" w:hAnsi="GHEA Grapalat" w:cstheme="majorBidi"/>
      <w:b/>
      <w:iCs/>
      <w:color w:val="002060"/>
      <w:sz w:val="26"/>
      <w:szCs w:val="25"/>
    </w:rPr>
  </w:style>
  <w:style w:type="paragraph" w:styleId="Header">
    <w:name w:val="header"/>
    <w:basedOn w:val="Normal"/>
    <w:link w:val="HeaderChar"/>
    <w:uiPriority w:val="99"/>
    <w:unhideWhenUsed/>
    <w:rsid w:val="005D1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01C"/>
    <w:rPr>
      <w:rFonts w:ascii="GHEA Grapalat" w:eastAsia="SimSun" w:hAnsi="GHEA Grapalat" w:cs="Times New Roman"/>
      <w:sz w:val="24"/>
    </w:rPr>
  </w:style>
  <w:style w:type="paragraph" w:styleId="Footer">
    <w:name w:val="footer"/>
    <w:basedOn w:val="Normal"/>
    <w:link w:val="FooterChar"/>
    <w:uiPriority w:val="99"/>
    <w:unhideWhenUsed/>
    <w:rsid w:val="005D1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01C"/>
    <w:rPr>
      <w:rFonts w:ascii="GHEA Grapalat" w:eastAsia="SimSun" w:hAnsi="GHEA Grapalat" w:cs="Times New Roman"/>
      <w:sz w:val="24"/>
    </w:rPr>
  </w:style>
  <w:style w:type="paragraph" w:styleId="FootnoteText">
    <w:name w:val="footnote text"/>
    <w:basedOn w:val="Normal"/>
    <w:link w:val="FootnoteTextChar"/>
    <w:uiPriority w:val="99"/>
    <w:semiHidden/>
    <w:unhideWhenUsed/>
    <w:rsid w:val="005D101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D101C"/>
    <w:rPr>
      <w:rFonts w:ascii="GHEA Grapalat" w:eastAsia="SimSun" w:hAnsi="GHEA Grapalat" w:cs="Times New Roman"/>
      <w:sz w:val="20"/>
      <w:szCs w:val="20"/>
    </w:rPr>
  </w:style>
  <w:style w:type="character" w:styleId="FootnoteReference">
    <w:name w:val="footnote reference"/>
    <w:basedOn w:val="DefaultParagraphFont"/>
    <w:uiPriority w:val="99"/>
    <w:semiHidden/>
    <w:unhideWhenUsed/>
    <w:rsid w:val="005D101C"/>
    <w:rPr>
      <w:vertAlign w:val="superscript"/>
    </w:rPr>
  </w:style>
  <w:style w:type="paragraph" w:styleId="TOCHeading">
    <w:name w:val="TOC Heading"/>
    <w:basedOn w:val="Heading1"/>
    <w:next w:val="Normal"/>
    <w:uiPriority w:val="39"/>
    <w:unhideWhenUsed/>
    <w:qFormat/>
    <w:rsid w:val="005D101C"/>
    <w:pPr>
      <w:keepNext/>
      <w:keepLines/>
      <w:numPr>
        <w:numId w:val="0"/>
      </w:numPr>
      <w:spacing w:before="240" w:after="0" w:line="259" w:lineRule="auto"/>
      <w:ind w:righ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5D101C"/>
    <w:pPr>
      <w:spacing w:after="100"/>
    </w:pPr>
  </w:style>
  <w:style w:type="character" w:styleId="Hyperlink">
    <w:name w:val="Hyperlink"/>
    <w:basedOn w:val="DefaultParagraphFont"/>
    <w:uiPriority w:val="99"/>
    <w:unhideWhenUsed/>
    <w:rsid w:val="005D101C"/>
    <w:rPr>
      <w:color w:val="0563C1" w:themeColor="hyperlink"/>
      <w:u w:val="single"/>
    </w:rPr>
  </w:style>
  <w:style w:type="paragraph" w:styleId="ListParagraph">
    <w:name w:val="List Paragraph"/>
    <w:aliases w:val="List_Paragraph,Multilevel para_II,List Paragraph1,List Paragraph-ExecSummary,Akapit z listą BS,Bullet List,FooterText,List Paragraph (numbered (a)),Bullets,List Paragraph nowy,Liste 1,ECDC AF Paragraph,Paragraphe de liste PBLH,References"/>
    <w:basedOn w:val="Normal"/>
    <w:link w:val="ListParagraphChar"/>
    <w:uiPriority w:val="34"/>
    <w:qFormat/>
    <w:rsid w:val="005D101C"/>
    <w:pPr>
      <w:spacing w:line="240" w:lineRule="auto"/>
      <w:ind w:left="720" w:firstLine="0"/>
      <w:contextualSpacing/>
    </w:pPr>
    <w:rPr>
      <w:rFonts w:eastAsia="Calibri"/>
      <w:sz w:val="22"/>
    </w:rPr>
  </w:style>
  <w:style w:type="paragraph" w:styleId="NormalWeb">
    <w:name w:val="Normal (Web)"/>
    <w:basedOn w:val="Normal"/>
    <w:uiPriority w:val="99"/>
    <w:unhideWhenUsed/>
    <w:rsid w:val="005D101C"/>
    <w:pPr>
      <w:spacing w:before="100" w:beforeAutospacing="1" w:after="100" w:afterAutospacing="1" w:line="259" w:lineRule="auto"/>
      <w:ind w:firstLine="0"/>
      <w:jc w:val="left"/>
    </w:pPr>
    <w:rPr>
      <w:rFonts w:ascii="Times New Roman" w:eastAsia="Times New Roman" w:hAnsi="Times New Roman"/>
      <w:szCs w:val="24"/>
    </w:rPr>
  </w:style>
  <w:style w:type="character" w:customStyle="1" w:styleId="ListParagraphChar">
    <w:name w:val="List Paragraph Char"/>
    <w:aliases w:val="List_Paragraph Char,Multilevel para_II Char,List Paragraph1 Char,List Paragraph-ExecSummary Char,Akapit z listą BS Char,Bullet List Char,FooterText Char,List Paragraph (numbered (a)) Char,Bullets Char,List Paragraph nowy Char"/>
    <w:link w:val="ListParagraph"/>
    <w:uiPriority w:val="34"/>
    <w:qFormat/>
    <w:locked/>
    <w:rsid w:val="005D101C"/>
    <w:rPr>
      <w:rFonts w:ascii="GHEA Grapalat" w:eastAsia="Calibri" w:hAnsi="GHEA Grapalat" w:cs="Times New Roman"/>
    </w:rPr>
  </w:style>
  <w:style w:type="table" w:customStyle="1" w:styleId="TableGrid2">
    <w:name w:val="Table Grid2"/>
    <w:basedOn w:val="TableNormal"/>
    <w:next w:val="TableGrid"/>
    <w:uiPriority w:val="39"/>
    <w:rsid w:val="005D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39"/>
    <w:rsid w:val="005D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1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2209"/>
    <w:pPr>
      <w:spacing w:after="100"/>
      <w:ind w:left="240"/>
    </w:pPr>
  </w:style>
  <w:style w:type="character" w:customStyle="1" w:styleId="Heading2Char">
    <w:name w:val="Heading 2 Char"/>
    <w:basedOn w:val="DefaultParagraphFont"/>
    <w:link w:val="Heading2"/>
    <w:uiPriority w:val="9"/>
    <w:rsid w:val="00787775"/>
    <w:rPr>
      <w:rFonts w:asciiTheme="majorHAnsi" w:eastAsiaTheme="majorEastAsia" w:hAnsiTheme="majorHAnsi" w:cstheme="majorBidi"/>
      <w:color w:val="2E74B5" w:themeColor="accent1" w:themeShade="BF"/>
      <w:sz w:val="26"/>
      <w:szCs w:val="26"/>
    </w:rPr>
  </w:style>
  <w:style w:type="table" w:styleId="ListTable3-Accent1">
    <w:name w:val="List Table 3 Accent 1"/>
    <w:basedOn w:val="TableNormal"/>
    <w:uiPriority w:val="48"/>
    <w:rsid w:val="00787775"/>
    <w:pPr>
      <w:spacing w:after="0" w:line="240" w:lineRule="auto"/>
    </w:pPr>
    <w:rPr>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rsid w:val="00B32822"/>
    <w:rPr>
      <w:sz w:val="16"/>
      <w:szCs w:val="16"/>
    </w:rPr>
  </w:style>
  <w:style w:type="paragraph" w:styleId="CommentText">
    <w:name w:val="annotation text"/>
    <w:basedOn w:val="Normal"/>
    <w:link w:val="CommentTextChar"/>
    <w:uiPriority w:val="99"/>
    <w:semiHidden/>
    <w:unhideWhenUsed/>
    <w:rsid w:val="00B32822"/>
    <w:pPr>
      <w:spacing w:line="240" w:lineRule="auto"/>
    </w:pPr>
    <w:rPr>
      <w:sz w:val="20"/>
      <w:szCs w:val="20"/>
    </w:rPr>
  </w:style>
  <w:style w:type="character" w:customStyle="1" w:styleId="CommentTextChar">
    <w:name w:val="Comment Text Char"/>
    <w:basedOn w:val="DefaultParagraphFont"/>
    <w:link w:val="CommentText"/>
    <w:uiPriority w:val="99"/>
    <w:semiHidden/>
    <w:rsid w:val="00B32822"/>
    <w:rPr>
      <w:rFonts w:ascii="GHEA Grapalat" w:eastAsia="SimSun"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B32822"/>
    <w:rPr>
      <w:b/>
      <w:bCs/>
    </w:rPr>
  </w:style>
  <w:style w:type="character" w:customStyle="1" w:styleId="CommentSubjectChar">
    <w:name w:val="Comment Subject Char"/>
    <w:basedOn w:val="CommentTextChar"/>
    <w:link w:val="CommentSubject"/>
    <w:uiPriority w:val="99"/>
    <w:semiHidden/>
    <w:rsid w:val="00B32822"/>
    <w:rPr>
      <w:rFonts w:ascii="GHEA Grapalat" w:eastAsia="SimSun" w:hAnsi="GHEA Grapalat" w:cs="Times New Roman"/>
      <w:b/>
      <w:bCs/>
      <w:sz w:val="20"/>
      <w:szCs w:val="20"/>
    </w:rPr>
  </w:style>
  <w:style w:type="paragraph" w:styleId="BalloonText">
    <w:name w:val="Balloon Text"/>
    <w:basedOn w:val="Normal"/>
    <w:link w:val="BalloonTextChar"/>
    <w:uiPriority w:val="99"/>
    <w:semiHidden/>
    <w:unhideWhenUsed/>
    <w:rsid w:val="0029118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186"/>
    <w:rPr>
      <w:rFonts w:ascii="Segoe UI" w:eastAsia="SimSun" w:hAnsi="Segoe UI" w:cs="Segoe UI"/>
      <w:sz w:val="18"/>
      <w:szCs w:val="18"/>
    </w:rPr>
  </w:style>
  <w:style w:type="paragraph" w:styleId="Revision">
    <w:name w:val="Revision"/>
    <w:hidden/>
    <w:uiPriority w:val="99"/>
    <w:semiHidden/>
    <w:rsid w:val="006317C8"/>
    <w:pPr>
      <w:spacing w:after="0" w:line="240" w:lineRule="auto"/>
    </w:pPr>
    <w:rPr>
      <w:rFonts w:ascii="GHEA Grapalat" w:eastAsia="SimSun" w:hAnsi="GHEA Grapala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EBDC-8F63-4A67-943C-DC1620BDF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41</Pages>
  <Words>8620</Words>
  <Characters>49140</Characters>
  <Application>Microsoft Office Word</Application>
  <DocSecurity>0</DocSecurity>
  <Lines>409</Lines>
  <Paragraphs>115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Marine </cp:lastModifiedBy>
  <cp:revision>62</cp:revision>
  <cp:lastPrinted>2024-05-02T07:46:00Z</cp:lastPrinted>
  <dcterms:created xsi:type="dcterms:W3CDTF">2024-05-10T06:36:00Z</dcterms:created>
  <dcterms:modified xsi:type="dcterms:W3CDTF">2024-05-10T12:25:00Z</dcterms:modified>
</cp:coreProperties>
</file>