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5C037" w14:textId="77777777" w:rsidR="00D67A4B" w:rsidRPr="005C082A" w:rsidRDefault="00D67A4B" w:rsidP="003079DF">
      <w:pPr>
        <w:spacing w:before="0" w:after="160"/>
        <w:ind w:firstLine="0"/>
        <w:jc w:val="left"/>
      </w:pPr>
    </w:p>
    <w:p w14:paraId="45711B2F" w14:textId="77777777" w:rsidR="00B265D0" w:rsidRPr="005C082A" w:rsidRDefault="009817B2" w:rsidP="00EA490C">
      <w:pPr>
        <w:spacing w:before="0" w:after="160"/>
        <w:ind w:firstLine="0"/>
        <w:jc w:val="center"/>
        <w:rPr>
          <w:rFonts w:cs="Sylfaen"/>
          <w:b/>
          <w:bCs/>
          <w:sz w:val="32"/>
        </w:rPr>
      </w:pPr>
      <w:r w:rsidRPr="005C082A">
        <w:rPr>
          <w:rFonts w:cs="Sylfaen"/>
          <w:b/>
          <w:bCs/>
          <w:sz w:val="32"/>
        </w:rPr>
        <w:t>ՀԱՅԱՍՏԱՆԻ ՀԱՆՐԱՊԵՏՈՒԹՅԱՆ</w:t>
      </w:r>
      <w:r w:rsidR="003079DF" w:rsidRPr="005C082A">
        <w:rPr>
          <w:rFonts w:cs="Sylfaen"/>
          <w:b/>
          <w:bCs/>
          <w:sz w:val="32"/>
        </w:rPr>
        <w:t xml:space="preserve"> </w:t>
      </w:r>
    </w:p>
    <w:p w14:paraId="57BBC96F" w14:textId="00FEAE4B" w:rsidR="003079DF" w:rsidRPr="005C082A" w:rsidRDefault="003079DF" w:rsidP="00EA490C">
      <w:pPr>
        <w:spacing w:before="0" w:after="160"/>
        <w:ind w:firstLine="0"/>
        <w:jc w:val="center"/>
        <w:rPr>
          <w:rFonts w:cs="Sylfaen"/>
          <w:b/>
          <w:bCs/>
          <w:sz w:val="32"/>
        </w:rPr>
      </w:pPr>
      <w:r w:rsidRPr="005C082A">
        <w:rPr>
          <w:rFonts w:cs="Sylfaen"/>
          <w:b/>
          <w:bCs/>
          <w:sz w:val="32"/>
        </w:rPr>
        <w:t>ՀԱՇՎԵՔՆՆԻՉ ՊԱԼԱՏ</w:t>
      </w:r>
    </w:p>
    <w:p w14:paraId="5A2B7DCA" w14:textId="77777777" w:rsidR="003079DF" w:rsidRPr="005C082A" w:rsidRDefault="003079DF" w:rsidP="003079DF">
      <w:pPr>
        <w:jc w:val="center"/>
        <w:rPr>
          <w:noProof/>
          <w:lang w:val="ru-RU" w:eastAsia="ru-RU"/>
        </w:rPr>
      </w:pPr>
      <w:r w:rsidRPr="005C082A">
        <w:rPr>
          <w:noProof/>
        </w:rPr>
        <w:drawing>
          <wp:inline distT="0" distB="0" distL="0" distR="0" wp14:anchorId="7F61B4D0" wp14:editId="62629E26">
            <wp:extent cx="1345565" cy="1259205"/>
            <wp:effectExtent l="0" t="0" r="6985" b="0"/>
            <wp:docPr id="7"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bookmarkStart w:id="0" w:name="_GoBack"/>
      <w:bookmarkEnd w:id="0"/>
    </w:p>
    <w:p w14:paraId="51859FC0" w14:textId="77777777" w:rsidR="003079DF" w:rsidRPr="005C082A" w:rsidRDefault="003079DF" w:rsidP="003079DF">
      <w:pPr>
        <w:spacing w:after="0"/>
        <w:rPr>
          <w:lang w:val="hy-AM"/>
        </w:rPr>
      </w:pPr>
    </w:p>
    <w:p w14:paraId="0E4E5BC6" w14:textId="77777777" w:rsidR="003079DF" w:rsidRPr="005C082A" w:rsidRDefault="003079DF" w:rsidP="003079DF">
      <w:pPr>
        <w:spacing w:before="0" w:after="160"/>
        <w:ind w:firstLine="0"/>
        <w:rPr>
          <w:b/>
          <w:bCs/>
          <w:sz w:val="28"/>
          <w:lang w:val="hy-AM"/>
        </w:rPr>
      </w:pPr>
    </w:p>
    <w:p w14:paraId="732248B0" w14:textId="77777777" w:rsidR="00AC7646" w:rsidRPr="005C082A" w:rsidRDefault="00AC7646" w:rsidP="00AC7646">
      <w:pPr>
        <w:tabs>
          <w:tab w:val="left" w:pos="9180"/>
        </w:tabs>
        <w:spacing w:after="240"/>
        <w:ind w:right="28" w:firstLine="709"/>
        <w:jc w:val="center"/>
        <w:rPr>
          <w:rFonts w:cs="Sylfaen"/>
          <w:b/>
          <w:bCs/>
          <w:sz w:val="32"/>
          <w:szCs w:val="32"/>
          <w:lang w:val="hy-AM"/>
        </w:rPr>
      </w:pPr>
      <w:r w:rsidRPr="005C082A">
        <w:rPr>
          <w:rFonts w:cs="Sylfaen"/>
          <w:b/>
          <w:bCs/>
          <w:sz w:val="32"/>
          <w:szCs w:val="32"/>
          <w:lang w:val="hy-AM"/>
        </w:rPr>
        <w:t>ԸՆԹԱՑԻԿ ԵԶՐԱԿԱՑՈՒԹՅՈՒՆ</w:t>
      </w:r>
    </w:p>
    <w:p w14:paraId="054B70C4" w14:textId="00069B90" w:rsidR="00AC7646" w:rsidRPr="005C082A" w:rsidRDefault="00AC7646" w:rsidP="00AC7646">
      <w:pPr>
        <w:tabs>
          <w:tab w:val="left" w:pos="9180"/>
        </w:tabs>
        <w:spacing w:after="240"/>
        <w:ind w:right="28" w:firstLine="709"/>
        <w:jc w:val="center"/>
        <w:rPr>
          <w:rFonts w:cs="Sylfaen"/>
          <w:b/>
          <w:bCs/>
          <w:sz w:val="32"/>
          <w:szCs w:val="32"/>
          <w:lang w:val="hy-AM"/>
        </w:rPr>
      </w:pPr>
      <w:r w:rsidRPr="005C082A">
        <w:rPr>
          <w:rFonts w:cs="Sylfaen"/>
          <w:b/>
          <w:bCs/>
          <w:sz w:val="32"/>
          <w:szCs w:val="32"/>
          <w:lang w:val="hy-AM"/>
        </w:rPr>
        <w:t xml:space="preserve">ՀԱՅԱՍՏԱՆԻ ՀԱՆՐԱՊԵՏՈՒԹՅԱՆ </w:t>
      </w:r>
      <w:r w:rsidR="00A31C81" w:rsidRPr="005C082A">
        <w:rPr>
          <w:rFonts w:cs="Sylfaen"/>
          <w:b/>
          <w:bCs/>
          <w:sz w:val="32"/>
          <w:szCs w:val="32"/>
          <w:lang w:val="hy-AM"/>
        </w:rPr>
        <w:t xml:space="preserve">ՏԱՐԾՔԱՅԻՆ ԿԱՌԱՎԱՐՄԱՆ ԵՎ ԵՆԹԱԿԱՌՈՒՑՎԱԾՔՆԵՐԻ </w:t>
      </w:r>
      <w:r w:rsidRPr="005C082A">
        <w:rPr>
          <w:rFonts w:cs="Sylfaen"/>
          <w:b/>
          <w:bCs/>
          <w:sz w:val="32"/>
          <w:szCs w:val="32"/>
          <w:lang w:val="hy-AM"/>
        </w:rPr>
        <w:t xml:space="preserve">ՆԱԽԱՐԱՐՈՒԹՅՈՒՆՈՒՄ </w:t>
      </w:r>
      <w:r w:rsidR="00A31C81" w:rsidRPr="005C082A">
        <w:rPr>
          <w:b/>
          <w:sz w:val="32"/>
          <w:szCs w:val="32"/>
          <w:lang w:val="hy-AM"/>
        </w:rPr>
        <w:t>ՃԱՆԱՊԱՐՀԱՅԻՆ ՑԱՆՑԻ ԲԱՐԵԼԱՎՄԱՆ ԴՐԱՄԱՇՆՈՐՀԱՅԻՆ ԵՎ ՎԱՐԿԱՅԻՆ ԾՐԱԳՐԵՐԻ</w:t>
      </w:r>
      <w:r w:rsidR="00A31C81" w:rsidRPr="005C082A">
        <w:rPr>
          <w:rFonts w:eastAsia="Calibri" w:cs="Arial"/>
          <w:b/>
          <w:sz w:val="32"/>
          <w:szCs w:val="32"/>
          <w:lang w:val="hy-AM"/>
        </w:rPr>
        <w:t xml:space="preserve"> ՆԿԱՏՄԱՄԲ </w:t>
      </w:r>
      <w:r w:rsidRPr="005C082A">
        <w:rPr>
          <w:rFonts w:cs="Sylfaen"/>
          <w:b/>
          <w:bCs/>
          <w:sz w:val="32"/>
          <w:szCs w:val="32"/>
          <w:lang w:val="hy-AM"/>
        </w:rPr>
        <w:t>ՀԱՇՎԵՔՆՆՈՒԹՅԱՆ ԱՐԴՅՈՒՆՔՆԵՐԻ ՎԵՐԱԲԵՐՅԱԼ</w:t>
      </w:r>
    </w:p>
    <w:p w14:paraId="3ECACC62" w14:textId="068D3B22" w:rsidR="003079DF" w:rsidRPr="005C082A" w:rsidRDefault="003079DF" w:rsidP="003079DF">
      <w:pPr>
        <w:jc w:val="center"/>
        <w:rPr>
          <w:rFonts w:cs="Sylfaen"/>
          <w:b/>
          <w:bCs/>
          <w:sz w:val="32"/>
          <w:szCs w:val="32"/>
          <w:lang w:val="hy-AM"/>
        </w:rPr>
      </w:pPr>
    </w:p>
    <w:p w14:paraId="1440AB58" w14:textId="77777777" w:rsidR="003079DF" w:rsidRPr="005C082A" w:rsidRDefault="003079DF" w:rsidP="003079DF">
      <w:pPr>
        <w:jc w:val="center"/>
        <w:rPr>
          <w:b/>
          <w:sz w:val="28"/>
          <w:lang w:val="hy-AM"/>
        </w:rPr>
      </w:pPr>
    </w:p>
    <w:p w14:paraId="0FFA1388" w14:textId="77777777" w:rsidR="003079DF" w:rsidRPr="005C082A" w:rsidRDefault="003079DF" w:rsidP="003079DF">
      <w:pPr>
        <w:jc w:val="center"/>
        <w:rPr>
          <w:b/>
          <w:sz w:val="28"/>
          <w:lang w:val="hy-AM"/>
        </w:rPr>
      </w:pPr>
    </w:p>
    <w:p w14:paraId="07CC039A" w14:textId="448AD8A7" w:rsidR="003079DF" w:rsidRPr="005C082A" w:rsidRDefault="003079DF" w:rsidP="003079DF">
      <w:pPr>
        <w:jc w:val="center"/>
        <w:rPr>
          <w:b/>
          <w:sz w:val="28"/>
          <w:lang w:val="hy-AM"/>
        </w:rPr>
      </w:pPr>
    </w:p>
    <w:p w14:paraId="582B8736" w14:textId="38890F28" w:rsidR="003079DF" w:rsidRPr="005C082A" w:rsidRDefault="003079DF" w:rsidP="003079DF">
      <w:pPr>
        <w:ind w:firstLine="0"/>
        <w:jc w:val="center"/>
        <w:rPr>
          <w:lang w:val="hy-AM"/>
        </w:rPr>
        <w:sectPr w:rsidR="003079DF" w:rsidRPr="005C082A" w:rsidSect="005C082A">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5C082A">
        <w:rPr>
          <w:b/>
          <w:sz w:val="28"/>
          <w:lang w:val="hy-AM"/>
        </w:rPr>
        <w:t>202</w:t>
      </w:r>
      <w:r w:rsidR="00FE01C7" w:rsidRPr="005C082A">
        <w:rPr>
          <w:b/>
          <w:sz w:val="28"/>
          <w:lang w:val="ru-RU"/>
        </w:rPr>
        <w:t>3</w:t>
      </w:r>
      <w:r w:rsidR="001C60F1" w:rsidRPr="005C082A">
        <w:rPr>
          <w:b/>
          <w:sz w:val="28"/>
          <w:lang w:val="hy-AM"/>
        </w:rPr>
        <w:t>թ</w:t>
      </w:r>
    </w:p>
    <w:p w14:paraId="48E1250D" w14:textId="4F4E13B3" w:rsidR="00AC7646" w:rsidRDefault="00AC7646" w:rsidP="00AC7646">
      <w:pPr>
        <w:pStyle w:val="TOCHeading"/>
        <w:spacing w:before="0" w:after="240" w:line="276" w:lineRule="auto"/>
        <w:jc w:val="center"/>
        <w:rPr>
          <w:rFonts w:ascii="GHEA Grapalat" w:hAnsi="GHEA Grapalat"/>
          <w:b/>
          <w:color w:val="auto"/>
          <w:sz w:val="28"/>
          <w:szCs w:val="28"/>
        </w:rPr>
      </w:pPr>
      <w:r w:rsidRPr="005C082A">
        <w:rPr>
          <w:rFonts w:ascii="GHEA Grapalat" w:hAnsi="GHEA Grapalat"/>
          <w:b/>
          <w:color w:val="auto"/>
          <w:sz w:val="28"/>
          <w:szCs w:val="28"/>
        </w:rPr>
        <w:lastRenderedPageBreak/>
        <w:t>ԲՈՎԱՆԴԱԿՈՒԹՅՈՒՆ</w:t>
      </w:r>
    </w:p>
    <w:sdt>
      <w:sdtPr>
        <w:rPr>
          <w:rFonts w:ascii="GHEA Grapalat" w:eastAsia="SimSun" w:hAnsi="GHEA Grapalat"/>
          <w:color w:val="auto"/>
          <w:sz w:val="24"/>
          <w:szCs w:val="22"/>
        </w:rPr>
        <w:id w:val="-1801064371"/>
        <w:docPartObj>
          <w:docPartGallery w:val="Table of Contents"/>
          <w:docPartUnique/>
        </w:docPartObj>
      </w:sdtPr>
      <w:sdtEndPr>
        <w:rPr>
          <w:b/>
          <w:bCs/>
          <w:noProof/>
        </w:rPr>
      </w:sdtEndPr>
      <w:sdtContent>
        <w:p w14:paraId="75A32C7B" w14:textId="75E97D8F" w:rsidR="005C082A" w:rsidRDefault="005C082A">
          <w:pPr>
            <w:pStyle w:val="TOCHeading"/>
          </w:pPr>
        </w:p>
        <w:p w14:paraId="08A1BB8F" w14:textId="0F8D8785" w:rsidR="005C082A" w:rsidRDefault="005C082A">
          <w:pPr>
            <w:pStyle w:val="TOC1"/>
            <w:rPr>
              <w:rFonts w:asciiTheme="minorHAnsi" w:eastAsiaTheme="minorEastAsia" w:hAnsiTheme="minorHAnsi" w:cstheme="minorBidi"/>
              <w:sz w:val="22"/>
            </w:rPr>
          </w:pPr>
          <w:r>
            <w:fldChar w:fldCharType="begin"/>
          </w:r>
          <w:r>
            <w:instrText xml:space="preserve"> TOC \o "1-3" \h \z \u </w:instrText>
          </w:r>
          <w:r>
            <w:fldChar w:fldCharType="separate"/>
          </w:r>
          <w:hyperlink w:anchor="_Toc128393692" w:history="1">
            <w:r w:rsidRPr="002742C2">
              <w:rPr>
                <w:rStyle w:val="Hyperlink"/>
              </w:rPr>
              <w:t>1.</w:t>
            </w:r>
            <w:r>
              <w:rPr>
                <w:rFonts w:asciiTheme="minorHAnsi" w:eastAsiaTheme="minorEastAsia" w:hAnsiTheme="minorHAnsi" w:cstheme="minorBidi"/>
                <w:sz w:val="22"/>
              </w:rPr>
              <w:tab/>
            </w:r>
            <w:r w:rsidRPr="002742C2">
              <w:rPr>
                <w:rStyle w:val="Hyperlink"/>
              </w:rPr>
              <w:t>ՆԵՐԱԾԱԿԱՆ ՄԱՍ</w:t>
            </w:r>
            <w:r>
              <w:rPr>
                <w:webHidden/>
              </w:rPr>
              <w:tab/>
            </w:r>
            <w:r>
              <w:rPr>
                <w:webHidden/>
              </w:rPr>
              <w:fldChar w:fldCharType="begin"/>
            </w:r>
            <w:r>
              <w:rPr>
                <w:webHidden/>
              </w:rPr>
              <w:instrText xml:space="preserve"> PAGEREF _Toc128393692 \h </w:instrText>
            </w:r>
            <w:r>
              <w:rPr>
                <w:webHidden/>
              </w:rPr>
            </w:r>
            <w:r>
              <w:rPr>
                <w:webHidden/>
              </w:rPr>
              <w:fldChar w:fldCharType="separate"/>
            </w:r>
            <w:r w:rsidR="00341FAD">
              <w:rPr>
                <w:webHidden/>
              </w:rPr>
              <w:t>2</w:t>
            </w:r>
            <w:r>
              <w:rPr>
                <w:webHidden/>
              </w:rPr>
              <w:fldChar w:fldCharType="end"/>
            </w:r>
          </w:hyperlink>
        </w:p>
        <w:p w14:paraId="3FA51A51" w14:textId="3990669A" w:rsidR="005C082A" w:rsidRDefault="003E5457">
          <w:pPr>
            <w:pStyle w:val="TOC1"/>
            <w:rPr>
              <w:rFonts w:asciiTheme="minorHAnsi" w:eastAsiaTheme="minorEastAsia" w:hAnsiTheme="minorHAnsi" w:cstheme="minorBidi"/>
              <w:sz w:val="22"/>
            </w:rPr>
          </w:pPr>
          <w:hyperlink w:anchor="_Toc128393693" w:history="1">
            <w:r w:rsidR="005C082A" w:rsidRPr="002742C2">
              <w:rPr>
                <w:rStyle w:val="Hyperlink"/>
              </w:rPr>
              <w:t>2.</w:t>
            </w:r>
            <w:r w:rsidR="005C082A">
              <w:rPr>
                <w:rFonts w:asciiTheme="minorHAnsi" w:eastAsiaTheme="minorEastAsia" w:hAnsiTheme="minorHAnsi" w:cstheme="minorBidi"/>
                <w:sz w:val="22"/>
              </w:rPr>
              <w:tab/>
            </w:r>
            <w:r w:rsidR="005C082A" w:rsidRPr="002742C2">
              <w:rPr>
                <w:rStyle w:val="Hyperlink"/>
              </w:rPr>
              <w:t>ՀԱՊԱՎՈՒՄՆԵՐԻ ՑԱՆԿ</w:t>
            </w:r>
            <w:r w:rsidR="005C082A">
              <w:rPr>
                <w:webHidden/>
              </w:rPr>
              <w:tab/>
            </w:r>
            <w:r w:rsidR="005C082A">
              <w:rPr>
                <w:webHidden/>
              </w:rPr>
              <w:fldChar w:fldCharType="begin"/>
            </w:r>
            <w:r w:rsidR="005C082A">
              <w:rPr>
                <w:webHidden/>
              </w:rPr>
              <w:instrText xml:space="preserve"> PAGEREF _Toc128393693 \h </w:instrText>
            </w:r>
            <w:r w:rsidR="005C082A">
              <w:rPr>
                <w:webHidden/>
              </w:rPr>
            </w:r>
            <w:r w:rsidR="005C082A">
              <w:rPr>
                <w:webHidden/>
              </w:rPr>
              <w:fldChar w:fldCharType="separate"/>
            </w:r>
            <w:r w:rsidR="00341FAD">
              <w:rPr>
                <w:webHidden/>
              </w:rPr>
              <w:t>4</w:t>
            </w:r>
            <w:r w:rsidR="005C082A">
              <w:rPr>
                <w:webHidden/>
              </w:rPr>
              <w:fldChar w:fldCharType="end"/>
            </w:r>
          </w:hyperlink>
        </w:p>
        <w:p w14:paraId="3BEF6633" w14:textId="32BE0F15" w:rsidR="005C082A" w:rsidRDefault="003E5457">
          <w:pPr>
            <w:pStyle w:val="TOC1"/>
            <w:rPr>
              <w:rFonts w:asciiTheme="minorHAnsi" w:eastAsiaTheme="minorEastAsia" w:hAnsiTheme="minorHAnsi" w:cstheme="minorBidi"/>
              <w:sz w:val="22"/>
            </w:rPr>
          </w:pPr>
          <w:hyperlink w:anchor="_Toc128393694" w:history="1">
            <w:r w:rsidR="005C082A" w:rsidRPr="002742C2">
              <w:rPr>
                <w:rStyle w:val="Hyperlink"/>
              </w:rPr>
              <w:t>3.</w:t>
            </w:r>
            <w:r w:rsidR="005C082A">
              <w:rPr>
                <w:rFonts w:asciiTheme="minorHAnsi" w:eastAsiaTheme="minorEastAsia" w:hAnsiTheme="minorHAnsi" w:cstheme="minorBidi"/>
                <w:sz w:val="22"/>
              </w:rPr>
              <w:tab/>
            </w:r>
            <w:r w:rsidR="005C082A" w:rsidRPr="002742C2">
              <w:rPr>
                <w:rStyle w:val="Hyperlink"/>
              </w:rPr>
              <w:t>ԱՄՓՈՓԱԳԻՐ</w:t>
            </w:r>
            <w:r w:rsidR="005C082A">
              <w:rPr>
                <w:webHidden/>
              </w:rPr>
              <w:tab/>
            </w:r>
            <w:r w:rsidR="005C082A">
              <w:rPr>
                <w:webHidden/>
              </w:rPr>
              <w:fldChar w:fldCharType="begin"/>
            </w:r>
            <w:r w:rsidR="005C082A">
              <w:rPr>
                <w:webHidden/>
              </w:rPr>
              <w:instrText xml:space="preserve"> PAGEREF _Toc128393694 \h </w:instrText>
            </w:r>
            <w:r w:rsidR="005C082A">
              <w:rPr>
                <w:webHidden/>
              </w:rPr>
            </w:r>
            <w:r w:rsidR="005C082A">
              <w:rPr>
                <w:webHidden/>
              </w:rPr>
              <w:fldChar w:fldCharType="separate"/>
            </w:r>
            <w:r w:rsidR="00341FAD">
              <w:rPr>
                <w:webHidden/>
              </w:rPr>
              <w:t>5</w:t>
            </w:r>
            <w:r w:rsidR="005C082A">
              <w:rPr>
                <w:webHidden/>
              </w:rPr>
              <w:fldChar w:fldCharType="end"/>
            </w:r>
          </w:hyperlink>
        </w:p>
        <w:p w14:paraId="6A308505" w14:textId="27C7C645" w:rsidR="005C082A" w:rsidRDefault="003E5457">
          <w:pPr>
            <w:pStyle w:val="TOC1"/>
            <w:rPr>
              <w:rFonts w:asciiTheme="minorHAnsi" w:eastAsiaTheme="minorEastAsia" w:hAnsiTheme="minorHAnsi" w:cstheme="minorBidi"/>
              <w:sz w:val="22"/>
            </w:rPr>
          </w:pPr>
          <w:hyperlink w:anchor="_Toc128393695" w:history="1">
            <w:r w:rsidR="005C082A" w:rsidRPr="002742C2">
              <w:rPr>
                <w:rStyle w:val="Hyperlink"/>
              </w:rPr>
              <w:t>4.</w:t>
            </w:r>
            <w:r w:rsidR="005C082A">
              <w:rPr>
                <w:rFonts w:asciiTheme="minorHAnsi" w:eastAsiaTheme="minorEastAsia" w:hAnsiTheme="minorHAnsi" w:cstheme="minorBidi"/>
                <w:sz w:val="22"/>
              </w:rPr>
              <w:tab/>
            </w:r>
            <w:r w:rsidR="005C082A" w:rsidRPr="002742C2">
              <w:rPr>
                <w:rStyle w:val="Hyperlink"/>
                <w:lang w:val="en-GB"/>
              </w:rPr>
              <w:t>ԱՆԿԱԽ ՀԱՇՎԵՔՆՆՈՒԹՅԱՆ ԿԱՐԾԻՔ</w:t>
            </w:r>
            <w:r w:rsidR="005C082A">
              <w:rPr>
                <w:webHidden/>
              </w:rPr>
              <w:tab/>
            </w:r>
            <w:r w:rsidR="005C082A">
              <w:rPr>
                <w:webHidden/>
              </w:rPr>
              <w:fldChar w:fldCharType="begin"/>
            </w:r>
            <w:r w:rsidR="005C082A">
              <w:rPr>
                <w:webHidden/>
              </w:rPr>
              <w:instrText xml:space="preserve"> PAGEREF _Toc128393695 \h </w:instrText>
            </w:r>
            <w:r w:rsidR="005C082A">
              <w:rPr>
                <w:webHidden/>
              </w:rPr>
            </w:r>
            <w:r w:rsidR="005C082A">
              <w:rPr>
                <w:webHidden/>
              </w:rPr>
              <w:fldChar w:fldCharType="separate"/>
            </w:r>
            <w:r w:rsidR="00341FAD">
              <w:rPr>
                <w:webHidden/>
              </w:rPr>
              <w:t>9</w:t>
            </w:r>
            <w:r w:rsidR="005C082A">
              <w:rPr>
                <w:webHidden/>
              </w:rPr>
              <w:fldChar w:fldCharType="end"/>
            </w:r>
          </w:hyperlink>
        </w:p>
        <w:p w14:paraId="626C107E" w14:textId="5399E06C" w:rsidR="005C082A" w:rsidRDefault="003E5457">
          <w:pPr>
            <w:pStyle w:val="TOC1"/>
            <w:rPr>
              <w:rFonts w:asciiTheme="minorHAnsi" w:eastAsiaTheme="minorEastAsia" w:hAnsiTheme="minorHAnsi" w:cstheme="minorBidi"/>
              <w:sz w:val="22"/>
            </w:rPr>
          </w:pPr>
          <w:hyperlink w:anchor="_Toc128393696" w:history="1">
            <w:r w:rsidR="005C082A" w:rsidRPr="002742C2">
              <w:rPr>
                <w:rStyle w:val="Hyperlink"/>
                <w:lang w:val="hy-AM"/>
              </w:rPr>
              <w:t>5.</w:t>
            </w:r>
            <w:r w:rsidR="005C082A">
              <w:rPr>
                <w:rFonts w:asciiTheme="minorHAnsi" w:eastAsiaTheme="minorEastAsia" w:hAnsiTheme="minorHAnsi" w:cstheme="minorBidi"/>
                <w:sz w:val="22"/>
              </w:rPr>
              <w:tab/>
            </w:r>
            <w:r w:rsidR="005C082A" w:rsidRPr="002742C2">
              <w:rPr>
                <w:rStyle w:val="Hyperlink"/>
                <w:lang w:val="hy-AM"/>
              </w:rPr>
              <w:t>ԱՆՀԱՄԱՊԱՏԱՍԽԱՆՈՒԹՅՈՒՆՆԵՐԻ ՎԵՐԱԲԵՐՅԱԼ ԳՐԱՌՈՒՄՆԵՐ</w:t>
            </w:r>
            <w:r w:rsidR="005C082A">
              <w:rPr>
                <w:webHidden/>
              </w:rPr>
              <w:tab/>
            </w:r>
            <w:r w:rsidR="005C082A">
              <w:rPr>
                <w:webHidden/>
              </w:rPr>
              <w:fldChar w:fldCharType="begin"/>
            </w:r>
            <w:r w:rsidR="005C082A">
              <w:rPr>
                <w:webHidden/>
              </w:rPr>
              <w:instrText xml:space="preserve"> PAGEREF _Toc128393696 \h </w:instrText>
            </w:r>
            <w:r w:rsidR="005C082A">
              <w:rPr>
                <w:webHidden/>
              </w:rPr>
            </w:r>
            <w:r w:rsidR="005C082A">
              <w:rPr>
                <w:webHidden/>
              </w:rPr>
              <w:fldChar w:fldCharType="separate"/>
            </w:r>
            <w:r w:rsidR="00341FAD">
              <w:rPr>
                <w:webHidden/>
              </w:rPr>
              <w:t>12</w:t>
            </w:r>
            <w:r w:rsidR="005C082A">
              <w:rPr>
                <w:webHidden/>
              </w:rPr>
              <w:fldChar w:fldCharType="end"/>
            </w:r>
          </w:hyperlink>
        </w:p>
        <w:p w14:paraId="66C19F64" w14:textId="23C0BCF4" w:rsidR="005C082A" w:rsidRDefault="003E5457">
          <w:pPr>
            <w:pStyle w:val="TOC1"/>
            <w:rPr>
              <w:rFonts w:asciiTheme="minorHAnsi" w:eastAsiaTheme="minorEastAsia" w:hAnsiTheme="minorHAnsi" w:cstheme="minorBidi"/>
              <w:sz w:val="22"/>
            </w:rPr>
          </w:pPr>
          <w:hyperlink w:anchor="_Toc128393697" w:history="1">
            <w:r w:rsidR="005C082A" w:rsidRPr="002742C2">
              <w:rPr>
                <w:rStyle w:val="Hyperlink"/>
              </w:rPr>
              <w:t>6.</w:t>
            </w:r>
            <w:r w:rsidR="005C082A">
              <w:rPr>
                <w:rFonts w:asciiTheme="minorHAnsi" w:eastAsiaTheme="minorEastAsia" w:hAnsiTheme="minorHAnsi" w:cstheme="minorBidi"/>
                <w:sz w:val="22"/>
              </w:rPr>
              <w:tab/>
            </w:r>
            <w:r w:rsidR="005C082A" w:rsidRPr="002742C2">
              <w:rPr>
                <w:rStyle w:val="Hyperlink"/>
              </w:rPr>
              <w:t>ԽԵՂԱԹՅՈՒՐՈՒՄ</w:t>
            </w:r>
            <w:r w:rsidR="005C082A" w:rsidRPr="002742C2">
              <w:rPr>
                <w:rStyle w:val="Hyperlink"/>
              </w:rPr>
              <w:t>Ն</w:t>
            </w:r>
            <w:r w:rsidR="005C082A" w:rsidRPr="002742C2">
              <w:rPr>
                <w:rStyle w:val="Hyperlink"/>
              </w:rPr>
              <w:t>ԵՐԻ ՎԵՐԱԲԵՐՅԱԼ ԳՐԱՌՈՒՄՆԵՐ</w:t>
            </w:r>
            <w:r w:rsidR="005C082A">
              <w:rPr>
                <w:webHidden/>
              </w:rPr>
              <w:tab/>
            </w:r>
            <w:r w:rsidR="005C082A">
              <w:rPr>
                <w:webHidden/>
              </w:rPr>
              <w:fldChar w:fldCharType="begin"/>
            </w:r>
            <w:r w:rsidR="005C082A">
              <w:rPr>
                <w:webHidden/>
              </w:rPr>
              <w:instrText xml:space="preserve"> PAGEREF _Toc128393697 \h </w:instrText>
            </w:r>
            <w:r w:rsidR="005C082A">
              <w:rPr>
                <w:webHidden/>
              </w:rPr>
            </w:r>
            <w:r w:rsidR="005C082A">
              <w:rPr>
                <w:webHidden/>
              </w:rPr>
              <w:fldChar w:fldCharType="separate"/>
            </w:r>
            <w:r w:rsidR="00341FAD">
              <w:rPr>
                <w:webHidden/>
              </w:rPr>
              <w:t>43</w:t>
            </w:r>
            <w:r w:rsidR="005C082A">
              <w:rPr>
                <w:webHidden/>
              </w:rPr>
              <w:fldChar w:fldCharType="end"/>
            </w:r>
          </w:hyperlink>
        </w:p>
        <w:p w14:paraId="2D0CB591" w14:textId="702B3E2B" w:rsidR="005C082A" w:rsidRDefault="003E5457">
          <w:pPr>
            <w:pStyle w:val="TOC1"/>
            <w:rPr>
              <w:rFonts w:asciiTheme="minorHAnsi" w:eastAsiaTheme="minorEastAsia" w:hAnsiTheme="minorHAnsi" w:cstheme="minorBidi"/>
              <w:sz w:val="22"/>
            </w:rPr>
          </w:pPr>
          <w:hyperlink w:anchor="_Toc128393698" w:history="1">
            <w:r w:rsidR="005C082A" w:rsidRPr="002742C2">
              <w:rPr>
                <w:rStyle w:val="Hyperlink"/>
              </w:rPr>
              <w:t>7.</w:t>
            </w:r>
            <w:r w:rsidR="005C082A">
              <w:rPr>
                <w:rFonts w:asciiTheme="minorHAnsi" w:eastAsiaTheme="minorEastAsia" w:hAnsiTheme="minorHAnsi" w:cstheme="minorBidi"/>
                <w:sz w:val="22"/>
              </w:rPr>
              <w:tab/>
            </w:r>
            <w:r w:rsidR="005C082A" w:rsidRPr="002742C2">
              <w:rPr>
                <w:rStyle w:val="Hyperlink"/>
              </w:rPr>
              <w:t>ՀԱՇՎԵՔՆՆՈՒԹՅԱՄԲ ԱՐՁԱՆԱԳՐՎԱԾ ԱՅԼ ՓԱՍՏԵՐ</w:t>
            </w:r>
            <w:r w:rsidR="005C082A">
              <w:rPr>
                <w:webHidden/>
              </w:rPr>
              <w:tab/>
            </w:r>
            <w:r w:rsidR="005C082A">
              <w:rPr>
                <w:webHidden/>
              </w:rPr>
              <w:fldChar w:fldCharType="begin"/>
            </w:r>
            <w:r w:rsidR="005C082A">
              <w:rPr>
                <w:webHidden/>
              </w:rPr>
              <w:instrText xml:space="preserve"> PAGEREF _Toc128393698 \h </w:instrText>
            </w:r>
            <w:r w:rsidR="005C082A">
              <w:rPr>
                <w:webHidden/>
              </w:rPr>
            </w:r>
            <w:r w:rsidR="005C082A">
              <w:rPr>
                <w:webHidden/>
              </w:rPr>
              <w:fldChar w:fldCharType="separate"/>
            </w:r>
            <w:r w:rsidR="00341FAD">
              <w:rPr>
                <w:webHidden/>
              </w:rPr>
              <w:t>44</w:t>
            </w:r>
            <w:r w:rsidR="005C082A">
              <w:rPr>
                <w:webHidden/>
              </w:rPr>
              <w:fldChar w:fldCharType="end"/>
            </w:r>
          </w:hyperlink>
        </w:p>
        <w:p w14:paraId="5B9E4747" w14:textId="115DD233" w:rsidR="005C082A" w:rsidRDefault="003E5457">
          <w:pPr>
            <w:pStyle w:val="TOC1"/>
            <w:rPr>
              <w:rFonts w:asciiTheme="minorHAnsi" w:eastAsiaTheme="minorEastAsia" w:hAnsiTheme="minorHAnsi" w:cstheme="minorBidi"/>
              <w:sz w:val="22"/>
            </w:rPr>
          </w:pPr>
          <w:hyperlink w:anchor="_Toc128393699" w:history="1">
            <w:r w:rsidR="005C082A" w:rsidRPr="002742C2">
              <w:rPr>
                <w:rStyle w:val="Hyperlink"/>
              </w:rPr>
              <w:t>8.</w:t>
            </w:r>
            <w:r w:rsidR="005C082A">
              <w:rPr>
                <w:rFonts w:asciiTheme="minorHAnsi" w:eastAsiaTheme="minorEastAsia" w:hAnsiTheme="minorHAnsi" w:cstheme="minorBidi"/>
                <w:sz w:val="22"/>
              </w:rPr>
              <w:tab/>
            </w:r>
            <w:r w:rsidR="005C082A" w:rsidRPr="002742C2">
              <w:rPr>
                <w:rStyle w:val="Hyperlink"/>
              </w:rPr>
              <w:t>ԱՌԱՋԱՐԿՈՒԹՅՈՒՆՆԵՐ</w:t>
            </w:r>
            <w:r w:rsidR="005C082A">
              <w:rPr>
                <w:webHidden/>
              </w:rPr>
              <w:tab/>
            </w:r>
            <w:r w:rsidR="005C082A">
              <w:rPr>
                <w:webHidden/>
              </w:rPr>
              <w:fldChar w:fldCharType="begin"/>
            </w:r>
            <w:r w:rsidR="005C082A">
              <w:rPr>
                <w:webHidden/>
              </w:rPr>
              <w:instrText xml:space="preserve"> PAGEREF _Toc128393699 \h </w:instrText>
            </w:r>
            <w:r w:rsidR="005C082A">
              <w:rPr>
                <w:webHidden/>
              </w:rPr>
            </w:r>
            <w:r w:rsidR="005C082A">
              <w:rPr>
                <w:webHidden/>
              </w:rPr>
              <w:fldChar w:fldCharType="separate"/>
            </w:r>
            <w:r w:rsidR="00341FAD">
              <w:rPr>
                <w:webHidden/>
              </w:rPr>
              <w:t>54</w:t>
            </w:r>
            <w:r w:rsidR="005C082A">
              <w:rPr>
                <w:webHidden/>
              </w:rPr>
              <w:fldChar w:fldCharType="end"/>
            </w:r>
          </w:hyperlink>
        </w:p>
        <w:p w14:paraId="0FEE6F16" w14:textId="45242E64" w:rsidR="005C082A" w:rsidRDefault="005C082A">
          <w:r>
            <w:rPr>
              <w:b/>
              <w:bCs/>
              <w:noProof/>
            </w:rPr>
            <w:fldChar w:fldCharType="end"/>
          </w:r>
        </w:p>
      </w:sdtContent>
    </w:sdt>
    <w:p w14:paraId="0156A0D5" w14:textId="77777777" w:rsidR="005C082A" w:rsidRPr="00650A93" w:rsidRDefault="005C082A" w:rsidP="00650A93"/>
    <w:p w14:paraId="783BDCED" w14:textId="40F25353" w:rsidR="000D6FCA" w:rsidRPr="00650A93" w:rsidRDefault="00AC7646">
      <w:pPr>
        <w:pStyle w:val="TOC1"/>
        <w:rPr>
          <w:rFonts w:eastAsiaTheme="minorEastAsia" w:cstheme="minorBidi"/>
          <w:sz w:val="22"/>
        </w:rPr>
      </w:pPr>
      <w:r w:rsidRPr="003810E9">
        <w:fldChar w:fldCharType="begin"/>
      </w:r>
      <w:r w:rsidRPr="005C082A">
        <w:instrText xml:space="preserve"> TOC \o "1-3" \h \z \u </w:instrText>
      </w:r>
      <w:r w:rsidRPr="003810E9">
        <w:fldChar w:fldCharType="separate"/>
      </w:r>
    </w:p>
    <w:p w14:paraId="4DC3DD48" w14:textId="2E727094" w:rsidR="00AC7646" w:rsidRPr="003810E9" w:rsidRDefault="00AC7646" w:rsidP="00AC7646">
      <w:pPr>
        <w:pStyle w:val="Heading1"/>
        <w:numPr>
          <w:ilvl w:val="0"/>
          <w:numId w:val="0"/>
        </w:numPr>
        <w:spacing w:after="240" w:line="276" w:lineRule="auto"/>
        <w:ind w:right="28"/>
        <w:rPr>
          <w:noProof/>
          <w:color w:val="auto"/>
        </w:rPr>
      </w:pPr>
      <w:r w:rsidRPr="003810E9">
        <w:rPr>
          <w:noProof/>
          <w:color w:val="auto"/>
        </w:rPr>
        <w:fldChar w:fldCharType="end"/>
      </w:r>
    </w:p>
    <w:p w14:paraId="6E0CFD1A" w14:textId="77777777" w:rsidR="00AC7646" w:rsidRPr="003810E9" w:rsidRDefault="00AC7646" w:rsidP="00AC7646">
      <w:pPr>
        <w:spacing w:before="0" w:after="160" w:line="256" w:lineRule="auto"/>
        <w:ind w:firstLine="0"/>
        <w:jc w:val="left"/>
        <w:rPr>
          <w:rFonts w:cs="Sylfaen"/>
          <w:b/>
          <w:bCs/>
          <w:noProof/>
          <w:sz w:val="28"/>
          <w:szCs w:val="28"/>
          <w:lang w:val="ru-RU"/>
        </w:rPr>
      </w:pPr>
      <w:r w:rsidRPr="003810E9">
        <w:rPr>
          <w:noProof/>
        </w:rPr>
        <w:br w:type="page"/>
      </w:r>
    </w:p>
    <w:p w14:paraId="0356C882" w14:textId="77777777" w:rsidR="00AC7646" w:rsidRPr="005C082A" w:rsidRDefault="00AC7646" w:rsidP="00A43096">
      <w:pPr>
        <w:pStyle w:val="Heading1"/>
        <w:numPr>
          <w:ilvl w:val="0"/>
          <w:numId w:val="3"/>
        </w:numPr>
        <w:spacing w:after="240" w:line="276" w:lineRule="auto"/>
        <w:ind w:right="28"/>
        <w:rPr>
          <w:color w:val="auto"/>
          <w:lang w:val="en-US"/>
        </w:rPr>
      </w:pPr>
      <w:bookmarkStart w:id="1" w:name="_Toc127462661"/>
      <w:bookmarkStart w:id="2" w:name="_Toc128393692"/>
      <w:r w:rsidRPr="005C082A">
        <w:rPr>
          <w:color w:val="auto"/>
        </w:rPr>
        <w:lastRenderedPageBreak/>
        <w:t>ՆԵՐԱԾԱԿԱՆ</w:t>
      </w:r>
      <w:r w:rsidRPr="005C082A">
        <w:rPr>
          <w:color w:val="auto"/>
          <w:lang w:val="en-US"/>
        </w:rPr>
        <w:t xml:space="preserve"> </w:t>
      </w:r>
      <w:r w:rsidRPr="005C082A">
        <w:rPr>
          <w:color w:val="auto"/>
        </w:rPr>
        <w:t>ՄԱՍ</w:t>
      </w:r>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6639"/>
      </w:tblGrid>
      <w:tr w:rsidR="003A188D" w:rsidRPr="005C082A" w14:paraId="62DF222A" w14:textId="77777777" w:rsidTr="00DC1B1F">
        <w:trPr>
          <w:trHeight w:val="814"/>
        </w:trPr>
        <w:tc>
          <w:tcPr>
            <w:tcW w:w="1430" w:type="pct"/>
            <w:hideMark/>
          </w:tcPr>
          <w:p w14:paraId="3356D2A8" w14:textId="77777777" w:rsidR="00AC7646" w:rsidRPr="005C082A" w:rsidRDefault="00AC7646" w:rsidP="00DC1B1F">
            <w:pPr>
              <w:spacing w:before="0"/>
              <w:ind w:firstLine="0"/>
              <w:jc w:val="left"/>
              <w:rPr>
                <w:b/>
                <w:szCs w:val="24"/>
              </w:rPr>
            </w:pPr>
            <w:r w:rsidRPr="005C082A">
              <w:rPr>
                <w:b/>
                <w:szCs w:val="24"/>
              </w:rPr>
              <w:t>Հաշվեքննության հիմքը</w:t>
            </w:r>
          </w:p>
        </w:tc>
        <w:tc>
          <w:tcPr>
            <w:tcW w:w="3570" w:type="pct"/>
            <w:hideMark/>
          </w:tcPr>
          <w:p w14:paraId="32F7AE1B" w14:textId="3A1DFF0D" w:rsidR="00AC7646" w:rsidRPr="005C082A" w:rsidRDefault="00AC7646" w:rsidP="00336523">
            <w:pPr>
              <w:spacing w:before="0"/>
              <w:ind w:firstLine="0"/>
              <w:rPr>
                <w:sz w:val="20"/>
                <w:szCs w:val="24"/>
                <w:lang w:val="hy-AM"/>
              </w:rPr>
            </w:pPr>
            <w:r w:rsidRPr="005C082A">
              <w:rPr>
                <w:szCs w:val="24"/>
              </w:rPr>
              <w:t>ՀՀ հաշվեքննիչ պալատի 202</w:t>
            </w:r>
            <w:r w:rsidR="00336523" w:rsidRPr="005C082A">
              <w:rPr>
                <w:szCs w:val="24"/>
              </w:rPr>
              <w:t>0</w:t>
            </w:r>
            <w:r w:rsidRPr="005C082A">
              <w:rPr>
                <w:szCs w:val="24"/>
              </w:rPr>
              <w:t xml:space="preserve"> թվականի </w:t>
            </w:r>
            <w:r w:rsidR="00336523" w:rsidRPr="005C082A">
              <w:rPr>
                <w:szCs w:val="24"/>
              </w:rPr>
              <w:t>մայիսի 26</w:t>
            </w:r>
            <w:r w:rsidRPr="005C082A">
              <w:rPr>
                <w:szCs w:val="24"/>
              </w:rPr>
              <w:t>-ի</w:t>
            </w:r>
            <w:r w:rsidR="00336523" w:rsidRPr="005C082A">
              <w:rPr>
                <w:szCs w:val="24"/>
              </w:rPr>
              <w:t xml:space="preserve"> </w:t>
            </w:r>
            <w:r w:rsidRPr="005C082A">
              <w:rPr>
                <w:szCs w:val="24"/>
                <w:lang w:val="hy-AM"/>
              </w:rPr>
              <w:t xml:space="preserve">«ՀՀ </w:t>
            </w:r>
            <w:r w:rsidR="00336523" w:rsidRPr="005C082A">
              <w:rPr>
                <w:szCs w:val="24"/>
                <w:lang w:val="en-GB"/>
              </w:rPr>
              <w:t>տարածքային կառավարման և ենթակառուցվածքների նախարարության «Ճանապարհային ցանցի բարելավման դրամաշնորհային և վարկային ծրագրերի»</w:t>
            </w:r>
            <w:r w:rsidRPr="005C082A">
              <w:rPr>
                <w:szCs w:val="24"/>
                <w:lang w:val="hy-AM"/>
              </w:rPr>
              <w:t xml:space="preserve"> </w:t>
            </w:r>
            <w:r w:rsidR="00336523" w:rsidRPr="005C082A">
              <w:rPr>
                <w:szCs w:val="24"/>
                <w:lang w:val="en-GB"/>
              </w:rPr>
              <w:t xml:space="preserve">նկատմամբ </w:t>
            </w:r>
            <w:r w:rsidRPr="005C082A">
              <w:rPr>
                <w:szCs w:val="24"/>
                <w:lang w:val="hy-AM"/>
              </w:rPr>
              <w:t>հաշվեքննության առաջադրանքը հաստատելու մասին</w:t>
            </w:r>
            <w:r w:rsidR="00236EAD" w:rsidRPr="005C082A">
              <w:rPr>
                <w:szCs w:val="24"/>
                <w:lang w:val="hy-AM"/>
              </w:rPr>
              <w:t>»</w:t>
            </w:r>
            <w:r w:rsidRPr="005C082A">
              <w:rPr>
                <w:szCs w:val="24"/>
                <w:lang w:val="hy-AM"/>
              </w:rPr>
              <w:t xml:space="preserve"> թիվ</w:t>
            </w:r>
            <w:r w:rsidR="00336523" w:rsidRPr="005C082A">
              <w:rPr>
                <w:szCs w:val="24"/>
                <w:lang w:val="hy-AM"/>
              </w:rPr>
              <w:t xml:space="preserve"> 83</w:t>
            </w:r>
            <w:r w:rsidRPr="005C082A">
              <w:rPr>
                <w:szCs w:val="24"/>
                <w:lang w:val="hy-AM"/>
              </w:rPr>
              <w:t>-Ա որոշում։</w:t>
            </w:r>
          </w:p>
        </w:tc>
      </w:tr>
      <w:tr w:rsidR="003A188D" w:rsidRPr="005C082A" w14:paraId="42E3B77C" w14:textId="77777777" w:rsidTr="00DC1B1F">
        <w:trPr>
          <w:trHeight w:val="799"/>
        </w:trPr>
        <w:tc>
          <w:tcPr>
            <w:tcW w:w="1430" w:type="pct"/>
            <w:hideMark/>
          </w:tcPr>
          <w:p w14:paraId="252E95BA" w14:textId="77777777" w:rsidR="00AC7646" w:rsidRPr="005C082A" w:rsidRDefault="00AC7646" w:rsidP="00DC1B1F">
            <w:pPr>
              <w:spacing w:before="0"/>
              <w:ind w:firstLine="0"/>
              <w:jc w:val="left"/>
              <w:rPr>
                <w:b/>
                <w:szCs w:val="24"/>
              </w:rPr>
            </w:pPr>
            <w:r w:rsidRPr="005C082A">
              <w:rPr>
                <w:b/>
                <w:szCs w:val="24"/>
              </w:rPr>
              <w:t>Հաշվեքննության օբյեկտը</w:t>
            </w:r>
          </w:p>
        </w:tc>
        <w:tc>
          <w:tcPr>
            <w:tcW w:w="3570" w:type="pct"/>
            <w:hideMark/>
          </w:tcPr>
          <w:p w14:paraId="0732CCB4" w14:textId="429D7C07" w:rsidR="00AC7646" w:rsidRPr="005C082A" w:rsidRDefault="00AC7646" w:rsidP="00336523">
            <w:pPr>
              <w:tabs>
                <w:tab w:val="left" w:pos="1440"/>
                <w:tab w:val="left" w:pos="1800"/>
                <w:tab w:val="left" w:pos="1980"/>
                <w:tab w:val="left" w:pos="2700"/>
              </w:tabs>
              <w:spacing w:before="0"/>
              <w:ind w:firstLine="0"/>
              <w:rPr>
                <w:sz w:val="20"/>
                <w:szCs w:val="24"/>
              </w:rPr>
            </w:pPr>
            <w:r w:rsidRPr="005C082A">
              <w:rPr>
                <w:rFonts w:cs="Sylfaen"/>
                <w:bCs/>
                <w:iCs/>
                <w:szCs w:val="24"/>
                <w:shd w:val="clear" w:color="auto" w:fill="FFFFFF"/>
                <w:lang w:val="hy-AM"/>
              </w:rPr>
              <w:t xml:space="preserve">ՀՀ </w:t>
            </w:r>
            <w:r w:rsidR="00336523" w:rsidRPr="005C082A">
              <w:rPr>
                <w:rFonts w:cs="Sylfaen"/>
                <w:bCs/>
                <w:iCs/>
                <w:szCs w:val="24"/>
                <w:shd w:val="clear" w:color="auto" w:fill="FFFFFF"/>
                <w:lang w:val="en-GB"/>
              </w:rPr>
              <w:t xml:space="preserve"> տարածքային կառավարման և ենթակառուցվածքների նախարարություն</w:t>
            </w:r>
            <w:r w:rsidRPr="005C082A">
              <w:rPr>
                <w:rFonts w:cs="Sylfaen"/>
                <w:bCs/>
                <w:iCs/>
                <w:szCs w:val="24"/>
                <w:shd w:val="clear" w:color="auto" w:fill="FFFFFF"/>
                <w:lang w:val="hy-AM"/>
              </w:rPr>
              <w:t>:</w:t>
            </w:r>
          </w:p>
        </w:tc>
      </w:tr>
      <w:tr w:rsidR="003A188D" w:rsidRPr="005C082A" w14:paraId="135EE8E6" w14:textId="77777777" w:rsidTr="00DC1B1F">
        <w:trPr>
          <w:trHeight w:val="1246"/>
        </w:trPr>
        <w:tc>
          <w:tcPr>
            <w:tcW w:w="1430" w:type="pct"/>
            <w:hideMark/>
          </w:tcPr>
          <w:p w14:paraId="3502DC53" w14:textId="77777777" w:rsidR="00AC7646" w:rsidRPr="005C082A" w:rsidRDefault="00AC7646" w:rsidP="00DC1B1F">
            <w:pPr>
              <w:spacing w:before="0"/>
              <w:ind w:firstLine="0"/>
              <w:jc w:val="left"/>
              <w:rPr>
                <w:b/>
                <w:szCs w:val="24"/>
              </w:rPr>
            </w:pPr>
            <w:r w:rsidRPr="005C082A">
              <w:rPr>
                <w:b/>
                <w:szCs w:val="24"/>
              </w:rPr>
              <w:t>Հաշվեքննության առարկան</w:t>
            </w:r>
          </w:p>
        </w:tc>
        <w:tc>
          <w:tcPr>
            <w:tcW w:w="3570" w:type="pct"/>
            <w:hideMark/>
          </w:tcPr>
          <w:p w14:paraId="49CB328B" w14:textId="2E2CD4F7" w:rsidR="00AC7646" w:rsidRPr="005C082A" w:rsidRDefault="00336523" w:rsidP="00DC1B1F">
            <w:pPr>
              <w:tabs>
                <w:tab w:val="left" w:pos="851"/>
              </w:tabs>
              <w:spacing w:before="0"/>
              <w:ind w:firstLine="0"/>
              <w:rPr>
                <w:rFonts w:eastAsia="Times New Roman"/>
                <w:szCs w:val="24"/>
                <w:lang w:val="hy-AM"/>
              </w:rPr>
            </w:pPr>
            <w:r w:rsidRPr="005C082A">
              <w:rPr>
                <w:szCs w:val="24"/>
              </w:rPr>
              <w:t>Ճանապարհային ցանցի բարելավման դրամաշնորհային և վարկային ծրագրեր</w:t>
            </w:r>
            <w:r w:rsidR="00AC7646" w:rsidRPr="005C082A">
              <w:rPr>
                <w:rFonts w:eastAsia="Times New Roman"/>
                <w:szCs w:val="24"/>
                <w:lang w:val="hy-AM"/>
              </w:rPr>
              <w:t>:</w:t>
            </w:r>
          </w:p>
        </w:tc>
      </w:tr>
      <w:tr w:rsidR="003A188D" w:rsidRPr="005C082A" w14:paraId="43CB8CE6" w14:textId="77777777" w:rsidTr="00DC1B1F">
        <w:trPr>
          <w:trHeight w:val="777"/>
        </w:trPr>
        <w:tc>
          <w:tcPr>
            <w:tcW w:w="1430" w:type="pct"/>
            <w:hideMark/>
          </w:tcPr>
          <w:p w14:paraId="3B197055" w14:textId="77777777" w:rsidR="00AC7646" w:rsidRPr="005C082A" w:rsidRDefault="00AC7646" w:rsidP="00DC1B1F">
            <w:pPr>
              <w:spacing w:before="0"/>
              <w:ind w:firstLine="0"/>
              <w:jc w:val="left"/>
              <w:rPr>
                <w:b/>
                <w:szCs w:val="24"/>
              </w:rPr>
            </w:pPr>
            <w:r w:rsidRPr="005C082A">
              <w:rPr>
                <w:b/>
                <w:szCs w:val="24"/>
                <w:lang w:val="hy-AM"/>
              </w:rPr>
              <w:t xml:space="preserve">Հաշվեքննության </w:t>
            </w:r>
            <w:r w:rsidRPr="005C082A">
              <w:rPr>
                <w:b/>
                <w:szCs w:val="24"/>
              </w:rPr>
              <w:t xml:space="preserve">առարկայի </w:t>
            </w:r>
            <w:r w:rsidRPr="005C082A">
              <w:rPr>
                <w:b/>
                <w:szCs w:val="24"/>
                <w:lang w:val="hy-AM"/>
              </w:rPr>
              <w:t>չափանիշները</w:t>
            </w:r>
          </w:p>
        </w:tc>
        <w:tc>
          <w:tcPr>
            <w:tcW w:w="3570" w:type="pct"/>
          </w:tcPr>
          <w:p w14:paraId="1AD28BBC" w14:textId="2B7370B1" w:rsidR="00AC7646" w:rsidRPr="005C082A" w:rsidRDefault="00336523" w:rsidP="00DC1B1F">
            <w:pPr>
              <w:spacing w:before="0" w:after="0"/>
              <w:ind w:firstLine="0"/>
              <w:rPr>
                <w:rFonts w:cs="Cambria Math"/>
                <w:szCs w:val="24"/>
                <w:lang w:val="hy-AM" w:eastAsia="x-none"/>
              </w:rPr>
            </w:pPr>
            <w:r w:rsidRPr="005C082A">
              <w:rPr>
                <w:szCs w:val="24"/>
                <w:lang w:val="en-GB"/>
              </w:rPr>
              <w:t xml:space="preserve">ՀՀ Քաղաքացիական </w:t>
            </w:r>
            <w:r w:rsidR="004212A1" w:rsidRPr="005C082A">
              <w:rPr>
                <w:szCs w:val="24"/>
                <w:lang w:val="en-GB"/>
              </w:rPr>
              <w:t>օրենսգիրք</w:t>
            </w:r>
            <w:r w:rsidRPr="005C082A">
              <w:rPr>
                <w:szCs w:val="24"/>
                <w:lang w:val="en-GB"/>
              </w:rPr>
              <w:t xml:space="preserve">, </w:t>
            </w:r>
            <w:r w:rsidR="004212A1" w:rsidRPr="005C082A">
              <w:rPr>
                <w:szCs w:val="24"/>
                <w:lang w:val="en-GB"/>
              </w:rPr>
              <w:t>«</w:t>
            </w:r>
            <w:r w:rsidRPr="005C082A">
              <w:rPr>
                <w:szCs w:val="24"/>
                <w:lang w:val="hy-AM"/>
              </w:rPr>
              <w:t>Ավտոմոբիլային ճանապարհների մասին</w:t>
            </w:r>
            <w:r w:rsidR="004212A1" w:rsidRPr="005C082A">
              <w:rPr>
                <w:szCs w:val="24"/>
                <w:lang w:val="en-GB"/>
              </w:rPr>
              <w:t>»</w:t>
            </w:r>
            <w:r w:rsidRPr="005C082A">
              <w:rPr>
                <w:szCs w:val="24"/>
                <w:lang w:val="hy-AM"/>
              </w:rPr>
              <w:t xml:space="preserve"> ՀՀ օրենք</w:t>
            </w:r>
            <w:r w:rsidR="00551A0F" w:rsidRPr="005C082A">
              <w:rPr>
                <w:szCs w:val="24"/>
                <w:lang w:val="en-GB" w:eastAsia="x-none"/>
              </w:rPr>
              <w:t>,</w:t>
            </w:r>
            <w:r w:rsidRPr="005C082A">
              <w:rPr>
                <w:rFonts w:cs="Cambria Math"/>
                <w:szCs w:val="24"/>
                <w:lang w:val="hy-AM" w:eastAsia="x-none"/>
              </w:rPr>
              <w:t xml:space="preserve"> «</w:t>
            </w:r>
            <w:r w:rsidRPr="005C082A">
              <w:rPr>
                <w:szCs w:val="24"/>
                <w:lang w:val="hy-AM" w:eastAsia="x-none"/>
              </w:rPr>
              <w:t>Գնումների մասին»</w:t>
            </w:r>
            <w:r w:rsidR="00551A0F" w:rsidRPr="005C082A">
              <w:rPr>
                <w:szCs w:val="24"/>
                <w:lang w:val="hy-AM" w:eastAsia="x-none"/>
              </w:rPr>
              <w:t xml:space="preserve"> </w:t>
            </w:r>
            <w:r w:rsidR="004212A1" w:rsidRPr="005C082A">
              <w:rPr>
                <w:szCs w:val="24"/>
                <w:lang w:val="en-GB" w:eastAsia="x-none"/>
              </w:rPr>
              <w:t xml:space="preserve">ՀՀ օրենք, Հայաստանի Հանրապետության Շինարարական Նորմեր՝ </w:t>
            </w:r>
            <w:r w:rsidRPr="005C082A">
              <w:rPr>
                <w:szCs w:val="24"/>
                <w:lang w:val="hy-AM"/>
              </w:rPr>
              <w:t>ՀՀՇՆ</w:t>
            </w:r>
            <w:r w:rsidR="004212A1" w:rsidRPr="005C082A">
              <w:rPr>
                <w:szCs w:val="24"/>
                <w:lang w:val="hy-AM"/>
              </w:rPr>
              <w:t xml:space="preserve"> IV-11.05.02-99, </w:t>
            </w:r>
            <w:r w:rsidR="007B320A" w:rsidRPr="005C082A">
              <w:rPr>
                <w:color w:val="222222"/>
                <w:shd w:val="clear" w:color="auto" w:fill="FFFFFF"/>
                <w:lang w:val="fr-FR"/>
              </w:rPr>
              <w:t>ՀՀ ֆինանսների նախարարի 2014 թվականի հոկտեմբերի 24-ի «ՀՀ հանրային հատվածի հաշապահական հաշվառման ստանդարտ</w:t>
            </w:r>
            <w:r w:rsidR="007B320A" w:rsidRPr="005C082A">
              <w:rPr>
                <w:color w:val="222222"/>
                <w:shd w:val="clear" w:color="auto" w:fill="FFFFFF"/>
                <w:lang w:val="hy-AM"/>
              </w:rPr>
              <w:t>ը հաստատելու մասին</w:t>
            </w:r>
            <w:r w:rsidR="007B320A" w:rsidRPr="005C082A">
              <w:rPr>
                <w:color w:val="222222"/>
                <w:shd w:val="clear" w:color="auto" w:fill="FFFFFF"/>
                <w:lang w:val="fr-FR"/>
              </w:rPr>
              <w:t>»</w:t>
            </w:r>
            <w:r w:rsidR="007B320A" w:rsidRPr="005C082A">
              <w:rPr>
                <w:rFonts w:ascii="Calibri" w:hAnsi="Calibri" w:cs="Calibri"/>
                <w:color w:val="222222"/>
                <w:shd w:val="clear" w:color="auto" w:fill="FFFFFF"/>
                <w:lang w:val="fr-FR"/>
              </w:rPr>
              <w:t> </w:t>
            </w:r>
            <w:r w:rsidR="007B320A" w:rsidRPr="005C082A">
              <w:rPr>
                <w:color w:val="222222"/>
                <w:shd w:val="clear" w:color="auto" w:fill="FFFFFF"/>
                <w:lang w:val="fr-FR"/>
              </w:rPr>
              <w:t>թիվ 725-Ն հրաման</w:t>
            </w:r>
            <w:r w:rsidR="004212A1" w:rsidRPr="005C082A">
              <w:rPr>
                <w:szCs w:val="24"/>
                <w:lang w:val="fr-FR"/>
              </w:rPr>
              <w:t>,</w:t>
            </w:r>
            <w:r w:rsidRPr="005C082A">
              <w:rPr>
                <w:szCs w:val="24"/>
                <w:lang w:val="fr-FR"/>
              </w:rPr>
              <w:t xml:space="preserve"> </w:t>
            </w:r>
            <w:r w:rsidR="004212A1" w:rsidRPr="005C082A">
              <w:rPr>
                <w:szCs w:val="24"/>
                <w:lang w:val="hy-AM"/>
              </w:rPr>
              <w:t xml:space="preserve">ՀՀ կառավարության </w:t>
            </w:r>
            <w:r w:rsidR="004212A1" w:rsidRPr="005C082A">
              <w:rPr>
                <w:color w:val="000000"/>
                <w:szCs w:val="24"/>
                <w:shd w:val="clear" w:color="auto" w:fill="FFFFFF"/>
                <w:lang w:val="hy-AM"/>
              </w:rPr>
              <w:t>23</w:t>
            </w:r>
            <w:r w:rsidR="004212A1" w:rsidRPr="005C082A">
              <w:rPr>
                <w:rFonts w:ascii="Calibri" w:hAnsi="Calibri" w:cs="Calibri"/>
                <w:color w:val="000000"/>
                <w:szCs w:val="24"/>
                <w:shd w:val="clear" w:color="auto" w:fill="FFFFFF"/>
                <w:lang w:val="hy-AM"/>
              </w:rPr>
              <w:t> </w:t>
            </w:r>
            <w:r w:rsidR="004212A1" w:rsidRPr="005C082A">
              <w:rPr>
                <w:color w:val="000000"/>
                <w:szCs w:val="24"/>
                <w:shd w:val="clear" w:color="auto" w:fill="FFFFFF"/>
                <w:lang w:val="hy-AM"/>
              </w:rPr>
              <w:t>հունիսի 2011 թվականի N 879-Ն որոշմամբ հաստատված «Գործող գներով շինարարական աշխատանքների արժեքի հաշվարկման կարգ»</w:t>
            </w:r>
            <w:r w:rsidR="004212A1" w:rsidRPr="005C082A">
              <w:rPr>
                <w:rFonts w:cs="Cambria Math"/>
                <w:szCs w:val="24"/>
                <w:lang w:val="en-GB" w:eastAsia="x-none"/>
              </w:rPr>
              <w:t xml:space="preserve"> </w:t>
            </w:r>
            <w:r w:rsidR="00AC7646" w:rsidRPr="005C082A">
              <w:rPr>
                <w:szCs w:val="24"/>
                <w:lang w:val="hy-AM" w:eastAsia="x-none"/>
              </w:rPr>
              <w:t>և այլն։</w:t>
            </w:r>
          </w:p>
          <w:p w14:paraId="1A477E78" w14:textId="77777777" w:rsidR="00AC7646" w:rsidRPr="005C082A" w:rsidRDefault="00AC7646" w:rsidP="00DC1B1F">
            <w:pPr>
              <w:spacing w:before="0" w:after="0"/>
              <w:ind w:firstLine="0"/>
              <w:rPr>
                <w:rFonts w:cs="Cambria Math"/>
                <w:bCs/>
                <w:szCs w:val="24"/>
                <w:lang w:val="hy-AM" w:eastAsia="x-none"/>
              </w:rPr>
            </w:pPr>
          </w:p>
        </w:tc>
      </w:tr>
      <w:tr w:rsidR="003A188D" w:rsidRPr="005C082A" w14:paraId="0B3E3583" w14:textId="77777777" w:rsidTr="00DC1B1F">
        <w:trPr>
          <w:trHeight w:val="1126"/>
        </w:trPr>
        <w:tc>
          <w:tcPr>
            <w:tcW w:w="1430" w:type="pct"/>
            <w:hideMark/>
          </w:tcPr>
          <w:p w14:paraId="72E91C15" w14:textId="77777777" w:rsidR="00AC7646" w:rsidRPr="005C082A" w:rsidRDefault="00AC7646" w:rsidP="00DC1B1F">
            <w:pPr>
              <w:spacing w:before="0"/>
              <w:ind w:firstLine="0"/>
              <w:jc w:val="left"/>
              <w:rPr>
                <w:b/>
                <w:szCs w:val="24"/>
              </w:rPr>
            </w:pPr>
            <w:r w:rsidRPr="005C082A">
              <w:rPr>
                <w:b/>
                <w:szCs w:val="24"/>
              </w:rPr>
              <w:t>Հաշվեքննությունն ընդգրկող ժամանակաշրջանը</w:t>
            </w:r>
          </w:p>
        </w:tc>
        <w:tc>
          <w:tcPr>
            <w:tcW w:w="3570" w:type="pct"/>
            <w:hideMark/>
          </w:tcPr>
          <w:p w14:paraId="73E74B3C" w14:textId="2892F36A" w:rsidR="00AC7646" w:rsidRPr="005C082A" w:rsidRDefault="004212A1" w:rsidP="004212A1">
            <w:pPr>
              <w:spacing w:before="0"/>
              <w:ind w:firstLine="0"/>
              <w:jc w:val="left"/>
              <w:rPr>
                <w:sz w:val="20"/>
              </w:rPr>
            </w:pPr>
            <w:r w:rsidRPr="005C082A">
              <w:rPr>
                <w:lang w:val="hy-AM"/>
              </w:rPr>
              <w:t>2017</w:t>
            </w:r>
            <w:r w:rsidR="00AC7646" w:rsidRPr="005C082A">
              <w:rPr>
                <w:lang w:val="hy-AM"/>
              </w:rPr>
              <w:t xml:space="preserve"> թվականի հունվարի 1–ից մինչև 20</w:t>
            </w:r>
            <w:r w:rsidRPr="005C082A">
              <w:rPr>
                <w:lang w:val="en-GB"/>
              </w:rPr>
              <w:t xml:space="preserve">19 </w:t>
            </w:r>
            <w:r w:rsidR="00AC7646" w:rsidRPr="005C082A">
              <w:rPr>
                <w:lang w:val="hy-AM"/>
              </w:rPr>
              <w:t xml:space="preserve">թվականի </w:t>
            </w:r>
            <w:r w:rsidRPr="005C082A">
              <w:t>դեկտեմբերի</w:t>
            </w:r>
            <w:r w:rsidRPr="005C082A">
              <w:rPr>
                <w:lang w:val="hy-AM"/>
              </w:rPr>
              <w:t xml:space="preserve"> 31</w:t>
            </w:r>
            <w:r w:rsidR="00AC7646" w:rsidRPr="005C082A">
              <w:rPr>
                <w:lang w:val="hy-AM"/>
              </w:rPr>
              <w:t>–ը</w:t>
            </w:r>
            <w:r w:rsidR="00AC7646" w:rsidRPr="005C082A">
              <w:t>:</w:t>
            </w:r>
          </w:p>
        </w:tc>
      </w:tr>
      <w:tr w:rsidR="003A188D" w:rsidRPr="005C082A" w14:paraId="1983825E" w14:textId="77777777" w:rsidTr="00DC1B1F">
        <w:trPr>
          <w:trHeight w:val="691"/>
        </w:trPr>
        <w:tc>
          <w:tcPr>
            <w:tcW w:w="1430" w:type="pct"/>
            <w:hideMark/>
          </w:tcPr>
          <w:p w14:paraId="6C9787AD" w14:textId="77777777" w:rsidR="00AC7646" w:rsidRPr="005C082A" w:rsidRDefault="00AC7646" w:rsidP="00DC1B1F">
            <w:pPr>
              <w:spacing w:before="0"/>
              <w:ind w:firstLine="0"/>
              <w:jc w:val="left"/>
            </w:pPr>
            <w:r w:rsidRPr="005C082A">
              <w:rPr>
                <w:b/>
                <w:szCs w:val="24"/>
              </w:rPr>
              <w:t>Հաշվեքննության կատարման ժամկետը</w:t>
            </w:r>
          </w:p>
        </w:tc>
        <w:tc>
          <w:tcPr>
            <w:tcW w:w="3570" w:type="pct"/>
            <w:hideMark/>
          </w:tcPr>
          <w:p w14:paraId="0C3CF4AF" w14:textId="586DEFD0" w:rsidR="00AC7646" w:rsidRPr="005C082A" w:rsidRDefault="004212A1" w:rsidP="004212A1">
            <w:pPr>
              <w:spacing w:before="0"/>
              <w:ind w:firstLine="0"/>
              <w:jc w:val="left"/>
            </w:pPr>
            <w:r w:rsidRPr="005C082A">
              <w:rPr>
                <w:lang w:val="hy-AM"/>
              </w:rPr>
              <w:t>2020</w:t>
            </w:r>
            <w:r w:rsidR="00AC7646" w:rsidRPr="005C082A">
              <w:rPr>
                <w:lang w:val="hy-AM"/>
              </w:rPr>
              <w:t xml:space="preserve"> թվականի </w:t>
            </w:r>
            <w:r w:rsidRPr="005C082A">
              <w:rPr>
                <w:lang w:val="hy-AM"/>
              </w:rPr>
              <w:t>հունիսի 8</w:t>
            </w:r>
            <w:r w:rsidR="00004835" w:rsidRPr="005C082A">
              <w:rPr>
                <w:lang w:val="hy-AM"/>
              </w:rPr>
              <w:t>-</w:t>
            </w:r>
            <w:r w:rsidR="00AC7646" w:rsidRPr="005C082A">
              <w:rPr>
                <w:lang w:val="hy-AM"/>
              </w:rPr>
              <w:t>ից մինչև</w:t>
            </w:r>
            <w:r w:rsidR="00004835" w:rsidRPr="005C082A">
              <w:rPr>
                <w:lang w:val="hy-AM"/>
              </w:rPr>
              <w:t xml:space="preserve"> 2023</w:t>
            </w:r>
            <w:r w:rsidR="00AC7646" w:rsidRPr="005C082A">
              <w:rPr>
                <w:lang w:val="hy-AM"/>
              </w:rPr>
              <w:t xml:space="preserve"> թվականի </w:t>
            </w:r>
            <w:r w:rsidRPr="005C082A">
              <w:t>փետրվարի 28</w:t>
            </w:r>
            <w:r w:rsidR="00AC7646" w:rsidRPr="005C082A">
              <w:rPr>
                <w:lang w:val="hy-AM"/>
              </w:rPr>
              <w:t>–ը</w:t>
            </w:r>
            <w:r w:rsidRPr="005C082A">
              <w:rPr>
                <w:lang w:val="en-GB"/>
              </w:rPr>
              <w:t xml:space="preserve"> ներառյալ</w:t>
            </w:r>
            <w:r w:rsidR="00AC7646" w:rsidRPr="005C082A">
              <w:rPr>
                <w:lang w:val="hy-AM"/>
              </w:rPr>
              <w:t>:</w:t>
            </w:r>
          </w:p>
        </w:tc>
      </w:tr>
      <w:tr w:rsidR="003A188D" w:rsidRPr="000D0335" w14:paraId="10399061" w14:textId="77777777" w:rsidTr="00DC1B1F">
        <w:trPr>
          <w:trHeight w:val="3085"/>
        </w:trPr>
        <w:tc>
          <w:tcPr>
            <w:tcW w:w="1430" w:type="pct"/>
            <w:hideMark/>
          </w:tcPr>
          <w:p w14:paraId="652D0ABE" w14:textId="77777777" w:rsidR="00AC7646" w:rsidRPr="005C082A" w:rsidRDefault="00AC7646" w:rsidP="00DC1B1F">
            <w:pPr>
              <w:spacing w:before="0" w:after="0"/>
              <w:ind w:firstLine="0"/>
              <w:jc w:val="left"/>
              <w:rPr>
                <w:b/>
                <w:szCs w:val="24"/>
              </w:rPr>
            </w:pPr>
            <w:r w:rsidRPr="005C082A">
              <w:rPr>
                <w:b/>
                <w:szCs w:val="24"/>
              </w:rPr>
              <w:lastRenderedPageBreak/>
              <w:t xml:space="preserve">Հաշվեքննության </w:t>
            </w:r>
            <w:r w:rsidRPr="005C082A">
              <w:rPr>
                <w:b/>
                <w:szCs w:val="24"/>
                <w:lang w:val="hy-AM"/>
              </w:rPr>
              <w:t>մեթոդաբանությունը</w:t>
            </w:r>
          </w:p>
        </w:tc>
        <w:tc>
          <w:tcPr>
            <w:tcW w:w="3570" w:type="pct"/>
            <w:hideMark/>
          </w:tcPr>
          <w:p w14:paraId="0C01F684" w14:textId="1FC63393" w:rsidR="00AC7646" w:rsidRPr="005C082A" w:rsidRDefault="00A02754" w:rsidP="00DC1B1F">
            <w:pPr>
              <w:spacing w:after="0"/>
              <w:ind w:firstLine="0"/>
              <w:rPr>
                <w:szCs w:val="24"/>
                <w:lang w:val="hy-AM"/>
              </w:rPr>
            </w:pPr>
            <w:r w:rsidRPr="005C082A">
              <w:rPr>
                <w:szCs w:val="24"/>
                <w:lang w:val="hy-AM"/>
              </w:rPr>
              <w:t>Հաշվեքննությունն իրականացվել է «Հաշվեքննիչ պալատի մա</w:t>
            </w:r>
            <w:r w:rsidRPr="005C082A">
              <w:rPr>
                <w:szCs w:val="24"/>
                <w:lang w:val="hy-AM"/>
              </w:rPr>
              <w:softHyphen/>
              <w:t>սին» ՀՀ օրենքի, Հաշվեքննիչ պալատի համա</w:t>
            </w:r>
            <w:r w:rsidRPr="005C082A">
              <w:rPr>
                <w:szCs w:val="24"/>
                <w:lang w:val="hy-AM"/>
              </w:rPr>
              <w:softHyphen/>
              <w:t>պա</w:t>
            </w:r>
            <w:r w:rsidRPr="005C082A">
              <w:rPr>
                <w:szCs w:val="24"/>
                <w:lang w:val="hy-AM"/>
              </w:rPr>
              <w:softHyphen/>
              <w:t>տասխանության հաշվեքննության մեթոդաբանությունների</w:t>
            </w:r>
            <w:r w:rsidRPr="005C082A">
              <w:rPr>
                <w:szCs w:val="24"/>
              </w:rPr>
              <w:t xml:space="preserve"> </w:t>
            </w:r>
            <w:r w:rsidR="00AC7646" w:rsidRPr="005C082A">
              <w:rPr>
                <w:szCs w:val="24"/>
              </w:rPr>
              <w:t xml:space="preserve">համաձայն: </w:t>
            </w:r>
          </w:p>
          <w:p w14:paraId="311510FD" w14:textId="3FBC5904" w:rsidR="00AC7646" w:rsidRPr="005C082A" w:rsidRDefault="00AC7646" w:rsidP="00A02754">
            <w:pPr>
              <w:spacing w:after="0"/>
              <w:ind w:firstLine="0"/>
              <w:rPr>
                <w:szCs w:val="24"/>
                <w:lang w:val="hy-AM"/>
              </w:rPr>
            </w:pPr>
            <w:r w:rsidRPr="005C082A">
              <w:rPr>
                <w:szCs w:val="24"/>
                <w:lang w:val="hy-AM"/>
              </w:rPr>
              <w:t>Իրականացվել է համապատասխանության հաշ</w:t>
            </w:r>
            <w:r w:rsidRPr="005C082A">
              <w:rPr>
                <w:szCs w:val="24"/>
                <w:lang w:val="hy-AM"/>
              </w:rPr>
              <w:softHyphen/>
              <w:t>վեքննություն</w:t>
            </w:r>
            <w:r w:rsidR="00DC1B1F" w:rsidRPr="005C082A">
              <w:rPr>
                <w:szCs w:val="24"/>
                <w:lang w:val="hy-AM"/>
              </w:rPr>
              <w:t>, որի</w:t>
            </w:r>
            <w:r w:rsidRPr="005C082A">
              <w:rPr>
                <w:szCs w:val="24"/>
                <w:lang w:val="hy-AM"/>
              </w:rPr>
              <w:t xml:space="preserve"> ընթացքում կիրառվել են</w:t>
            </w:r>
            <w:r w:rsidR="00EA47DA" w:rsidRPr="005C082A">
              <w:rPr>
                <w:szCs w:val="24"/>
                <w:shd w:val="clear" w:color="auto" w:fill="FFFFFF"/>
                <w:lang w:val="hy-AM"/>
              </w:rPr>
              <w:t xml:space="preserve"> </w:t>
            </w:r>
            <w:r w:rsidRPr="005C082A">
              <w:rPr>
                <w:szCs w:val="24"/>
                <w:shd w:val="clear" w:color="auto" w:fill="FFFFFF"/>
                <w:lang w:val="hy-AM"/>
              </w:rPr>
              <w:t>հարցում</w:t>
            </w:r>
            <w:r w:rsidR="00EA47DA" w:rsidRPr="00650A93">
              <w:rPr>
                <w:rFonts w:cs="Cambria Math"/>
                <w:szCs w:val="24"/>
                <w:shd w:val="clear" w:color="auto" w:fill="FFFFFF"/>
                <w:lang w:val="hy-AM"/>
              </w:rPr>
              <w:t>,</w:t>
            </w:r>
            <w:r w:rsidRPr="003810E9">
              <w:rPr>
                <w:szCs w:val="24"/>
                <w:shd w:val="clear" w:color="auto" w:fill="FFFFFF"/>
                <w:lang w:val="hy-AM"/>
              </w:rPr>
              <w:t xml:space="preserve"> արտաքին </w:t>
            </w:r>
            <w:r w:rsidRPr="005C082A">
              <w:rPr>
                <w:szCs w:val="24"/>
                <w:shd w:val="clear" w:color="auto" w:fill="FFFFFF"/>
                <w:lang w:val="hy-AM"/>
              </w:rPr>
              <w:t>հաստատում</w:t>
            </w:r>
            <w:r w:rsidR="00EA47DA" w:rsidRPr="00650A93">
              <w:rPr>
                <w:rFonts w:cs="Cambria Math"/>
                <w:szCs w:val="24"/>
                <w:shd w:val="clear" w:color="auto" w:fill="FFFFFF"/>
                <w:lang w:val="hy-AM"/>
              </w:rPr>
              <w:t>,</w:t>
            </w:r>
            <w:r w:rsidRPr="003810E9">
              <w:rPr>
                <w:szCs w:val="24"/>
                <w:shd w:val="clear" w:color="auto" w:fill="FFFFFF"/>
                <w:lang w:val="hy-AM"/>
              </w:rPr>
              <w:t xml:space="preserve"> վերլուծական</w:t>
            </w:r>
            <w:r w:rsidR="00A02754" w:rsidRPr="003810E9">
              <w:rPr>
                <w:szCs w:val="24"/>
                <w:shd w:val="clear" w:color="auto" w:fill="FFFFFF"/>
                <w:lang w:val="hy-AM"/>
              </w:rPr>
              <w:t xml:space="preserve"> </w:t>
            </w:r>
            <w:r w:rsidR="00A02754" w:rsidRPr="005C082A">
              <w:rPr>
                <w:szCs w:val="24"/>
                <w:shd w:val="clear" w:color="auto" w:fill="FFFFFF"/>
                <w:lang w:val="hy-AM"/>
              </w:rPr>
              <w:t>ընթացակարգ</w:t>
            </w:r>
            <w:r w:rsidR="00EA47DA" w:rsidRPr="00650A93">
              <w:rPr>
                <w:rFonts w:cs="Cambria Math"/>
                <w:szCs w:val="24"/>
                <w:shd w:val="clear" w:color="auto" w:fill="FFFFFF"/>
                <w:lang w:val="hy-AM"/>
              </w:rPr>
              <w:t>,</w:t>
            </w:r>
            <w:r w:rsidRPr="003810E9">
              <w:rPr>
                <w:szCs w:val="24"/>
                <w:shd w:val="clear" w:color="auto" w:fill="FFFFFF"/>
                <w:lang w:val="hy-AM"/>
              </w:rPr>
              <w:t xml:space="preserve"> </w:t>
            </w:r>
            <w:r w:rsidRPr="005C082A">
              <w:rPr>
                <w:szCs w:val="24"/>
                <w:shd w:val="clear" w:color="auto" w:fill="FFFFFF"/>
                <w:lang w:val="hy-AM"/>
              </w:rPr>
              <w:t>վերահաշվարկ</w:t>
            </w:r>
            <w:r w:rsidRPr="005C082A">
              <w:rPr>
                <w:szCs w:val="24"/>
                <w:lang w:val="hy-AM"/>
              </w:rPr>
              <w:t xml:space="preserve"> և վերակատարում ընթացակարգերը։</w:t>
            </w:r>
          </w:p>
        </w:tc>
      </w:tr>
      <w:tr w:rsidR="003A188D" w:rsidRPr="000D0335" w14:paraId="378252D8" w14:textId="77777777" w:rsidTr="00DC1B1F">
        <w:tc>
          <w:tcPr>
            <w:tcW w:w="1430" w:type="pct"/>
            <w:hideMark/>
          </w:tcPr>
          <w:p w14:paraId="0B64A43F" w14:textId="77777777" w:rsidR="00AC7646" w:rsidRPr="005C082A" w:rsidRDefault="00AC7646" w:rsidP="00DC1B1F">
            <w:pPr>
              <w:spacing w:before="0" w:after="0"/>
              <w:ind w:firstLine="0"/>
              <w:jc w:val="left"/>
              <w:rPr>
                <w:b/>
                <w:szCs w:val="24"/>
                <w:lang w:val="hy-AM"/>
              </w:rPr>
            </w:pPr>
            <w:r w:rsidRPr="003810E9">
              <w:rPr>
                <w:b/>
                <w:szCs w:val="24"/>
              </w:rPr>
              <w:t xml:space="preserve">Հաշվեքննությունն </w:t>
            </w:r>
            <w:r w:rsidRPr="005C082A">
              <w:rPr>
                <w:b/>
                <w:szCs w:val="24"/>
              </w:rPr>
              <w:t>իրականացրած կառուցվածքային ստորաբաժանում</w:t>
            </w:r>
          </w:p>
        </w:tc>
        <w:tc>
          <w:tcPr>
            <w:tcW w:w="3570" w:type="pct"/>
          </w:tcPr>
          <w:p w14:paraId="2EFDB18C" w14:textId="17BB925D" w:rsidR="00AC7646" w:rsidRPr="00650A93" w:rsidRDefault="00AC7646" w:rsidP="00DC1B1F">
            <w:pPr>
              <w:spacing w:after="0"/>
              <w:ind w:firstLine="0"/>
              <w:rPr>
                <w:rFonts w:eastAsia="Times New Roman"/>
                <w:szCs w:val="24"/>
                <w:lang w:val="hy-AM"/>
              </w:rPr>
            </w:pPr>
            <w:r w:rsidRPr="005C082A">
              <w:rPr>
                <w:rFonts w:eastAsia="Times New Roman"/>
                <w:szCs w:val="24"/>
                <w:lang w:val="fr-FR"/>
              </w:rPr>
              <w:t>Հաշվեքննությունն իրականացվել է ՀՀ հաշվեքննիչ պալատի հինգերորդ վարչության կողմից</w:t>
            </w:r>
            <w:r w:rsidR="00DC1B1F" w:rsidRPr="005C082A">
              <w:rPr>
                <w:rFonts w:eastAsia="Times New Roman"/>
                <w:szCs w:val="24"/>
                <w:lang w:val="fr-FR"/>
              </w:rPr>
              <w:t>, որի</w:t>
            </w:r>
            <w:r w:rsidRPr="005C082A">
              <w:rPr>
                <w:rFonts w:eastAsia="Times New Roman"/>
                <w:szCs w:val="24"/>
                <w:lang w:val="fr-FR"/>
              </w:rPr>
              <w:t xml:space="preserve"> աշխատանքները համակարգ</w:t>
            </w:r>
            <w:r w:rsidR="00A02754" w:rsidRPr="005C082A">
              <w:rPr>
                <w:rFonts w:eastAsia="Times New Roman"/>
                <w:szCs w:val="24"/>
                <w:lang w:val="fr-FR"/>
              </w:rPr>
              <w:t>ում</w:t>
            </w:r>
            <w:r w:rsidRPr="005C082A">
              <w:rPr>
                <w:rFonts w:eastAsia="Times New Roman"/>
                <w:szCs w:val="24"/>
                <w:lang w:val="fr-FR"/>
              </w:rPr>
              <w:t xml:space="preserve"> է ՀՀ հաշվեքննիչ պալատի անդամ Կարեն </w:t>
            </w:r>
            <w:proofErr w:type="gramStart"/>
            <w:r w:rsidRPr="005C082A">
              <w:rPr>
                <w:rFonts w:eastAsia="Times New Roman"/>
                <w:szCs w:val="24"/>
                <w:lang w:val="fr-FR"/>
              </w:rPr>
              <w:t>Առուստամյանը:</w:t>
            </w:r>
            <w:proofErr w:type="gramEnd"/>
          </w:p>
          <w:p w14:paraId="5591053A" w14:textId="77777777" w:rsidR="00AC7646" w:rsidRPr="003810E9" w:rsidRDefault="00AC7646" w:rsidP="00DC1B1F">
            <w:pPr>
              <w:spacing w:before="0" w:after="0"/>
              <w:ind w:firstLine="0"/>
              <w:rPr>
                <w:rFonts w:cs="Sylfaen"/>
                <w:lang w:val="hy-AM"/>
              </w:rPr>
            </w:pPr>
          </w:p>
        </w:tc>
      </w:tr>
    </w:tbl>
    <w:p w14:paraId="1DB0FAF8" w14:textId="77777777" w:rsidR="00AC7646" w:rsidRPr="003810E9" w:rsidRDefault="00AC7646" w:rsidP="00AC7646">
      <w:pPr>
        <w:spacing w:before="0" w:after="160" w:line="256" w:lineRule="auto"/>
        <w:ind w:firstLine="0"/>
        <w:jc w:val="left"/>
        <w:rPr>
          <w:rFonts w:cs="Sylfaen"/>
          <w:b/>
          <w:bCs/>
          <w:sz w:val="28"/>
          <w:szCs w:val="28"/>
          <w:lang w:val="hy-AM"/>
        </w:rPr>
      </w:pPr>
      <w:r w:rsidRPr="003810E9">
        <w:rPr>
          <w:lang w:val="hy-AM"/>
        </w:rPr>
        <w:br w:type="page"/>
      </w:r>
    </w:p>
    <w:p w14:paraId="2998AF0C" w14:textId="77777777" w:rsidR="00AC7646" w:rsidRPr="005C082A" w:rsidRDefault="00AC7646" w:rsidP="00A43096">
      <w:pPr>
        <w:pStyle w:val="Heading1"/>
        <w:numPr>
          <w:ilvl w:val="0"/>
          <w:numId w:val="3"/>
        </w:numPr>
        <w:rPr>
          <w:color w:val="auto"/>
        </w:rPr>
      </w:pPr>
      <w:bookmarkStart w:id="3" w:name="_Toc127462662"/>
      <w:bookmarkStart w:id="4" w:name="_Toc128393693"/>
      <w:r w:rsidRPr="005C082A">
        <w:rPr>
          <w:rStyle w:val="Hyperlink"/>
          <w:color w:val="auto"/>
          <w:u w:val="none"/>
        </w:rPr>
        <w:lastRenderedPageBreak/>
        <w:t>ՀԱՊԱՎՈՒՄՆԵՐԻ ՑԱՆԿ</w:t>
      </w:r>
      <w:bookmarkEnd w:id="3"/>
      <w:bookmarkEnd w:id="4"/>
    </w:p>
    <w:tbl>
      <w:tblPr>
        <w:tblpPr w:leftFromText="180" w:rightFromText="180" w:bottomFromText="160" w:vertAnchor="text" w:tblpY="1"/>
        <w:tblOverlap w:val="never"/>
        <w:tblW w:w="9781" w:type="dxa"/>
        <w:tblLook w:val="04A0" w:firstRow="1" w:lastRow="0" w:firstColumn="1" w:lastColumn="0" w:noHBand="0" w:noVBand="1"/>
      </w:tblPr>
      <w:tblGrid>
        <w:gridCol w:w="1346"/>
        <w:gridCol w:w="8435"/>
      </w:tblGrid>
      <w:tr w:rsidR="003A188D" w:rsidRPr="005C082A" w14:paraId="65928808" w14:textId="77777777" w:rsidTr="0027484E">
        <w:trPr>
          <w:trHeight w:val="634"/>
        </w:trPr>
        <w:tc>
          <w:tcPr>
            <w:tcW w:w="1346" w:type="dxa"/>
            <w:vAlign w:val="center"/>
            <w:hideMark/>
          </w:tcPr>
          <w:p w14:paraId="6180269D" w14:textId="4AEF5E57" w:rsidR="00F20F9A" w:rsidRPr="005C082A" w:rsidRDefault="00A02754" w:rsidP="0027484E">
            <w:pPr>
              <w:tabs>
                <w:tab w:val="left" w:pos="9180"/>
              </w:tabs>
              <w:spacing w:before="0" w:line="240" w:lineRule="auto"/>
              <w:ind w:right="29" w:firstLine="0"/>
              <w:jc w:val="left"/>
              <w:rPr>
                <w:rFonts w:cs="Sylfaen"/>
                <w:b/>
                <w:bCs/>
                <w:szCs w:val="24"/>
                <w:lang w:val="en-GB"/>
              </w:rPr>
            </w:pPr>
            <w:r w:rsidRPr="005C082A">
              <w:rPr>
                <w:rFonts w:cs="Sylfaen"/>
                <w:b/>
                <w:bCs/>
                <w:szCs w:val="24"/>
                <w:lang w:val="en-GB"/>
              </w:rPr>
              <w:t>ՀՀՇՆ</w:t>
            </w:r>
          </w:p>
        </w:tc>
        <w:tc>
          <w:tcPr>
            <w:tcW w:w="8435" w:type="dxa"/>
            <w:vAlign w:val="center"/>
            <w:hideMark/>
          </w:tcPr>
          <w:p w14:paraId="0C564B47" w14:textId="41AFF0AA" w:rsidR="00F20F9A" w:rsidRPr="005C082A" w:rsidRDefault="00A02754" w:rsidP="0027484E">
            <w:pPr>
              <w:tabs>
                <w:tab w:val="left" w:pos="9180"/>
              </w:tabs>
              <w:spacing w:before="0" w:line="240" w:lineRule="auto"/>
              <w:ind w:right="29" w:firstLine="0"/>
              <w:jc w:val="left"/>
              <w:rPr>
                <w:szCs w:val="24"/>
                <w:lang w:val="en-GB"/>
              </w:rPr>
            </w:pPr>
            <w:r w:rsidRPr="005C082A">
              <w:rPr>
                <w:szCs w:val="24"/>
                <w:lang w:val="en-GB"/>
              </w:rPr>
              <w:t>Հայաստանի Հանրապետության շինարարական նորմեր</w:t>
            </w:r>
            <w:r w:rsidR="00AC7646" w:rsidRPr="005C082A">
              <w:rPr>
                <w:szCs w:val="24"/>
                <w:lang w:val="hy-AM"/>
              </w:rPr>
              <w:t xml:space="preserve">։ </w:t>
            </w:r>
          </w:p>
        </w:tc>
      </w:tr>
      <w:tr w:rsidR="0027484E" w:rsidRPr="005C082A" w14:paraId="7D8D371F" w14:textId="77777777" w:rsidTr="0027484E">
        <w:trPr>
          <w:trHeight w:val="634"/>
        </w:trPr>
        <w:tc>
          <w:tcPr>
            <w:tcW w:w="1346" w:type="dxa"/>
            <w:vAlign w:val="center"/>
          </w:tcPr>
          <w:p w14:paraId="33E58A16" w14:textId="4DB59A5A" w:rsidR="0027484E" w:rsidRPr="005C082A" w:rsidRDefault="0027484E" w:rsidP="0027484E">
            <w:pPr>
              <w:tabs>
                <w:tab w:val="left" w:pos="9180"/>
              </w:tabs>
              <w:spacing w:before="0" w:line="240" w:lineRule="auto"/>
              <w:ind w:right="29" w:firstLine="0"/>
              <w:jc w:val="left"/>
              <w:rPr>
                <w:rFonts w:cs="Sylfaen"/>
                <w:b/>
                <w:bCs/>
                <w:szCs w:val="24"/>
                <w:lang w:val="en-GB"/>
              </w:rPr>
            </w:pPr>
            <w:r w:rsidRPr="005C082A">
              <w:rPr>
                <w:rFonts w:cs="Sylfaen"/>
                <w:b/>
                <w:bCs/>
                <w:szCs w:val="24"/>
                <w:lang w:val="en-GB"/>
              </w:rPr>
              <w:t>ՀՀ</w:t>
            </w:r>
          </w:p>
        </w:tc>
        <w:tc>
          <w:tcPr>
            <w:tcW w:w="8435" w:type="dxa"/>
            <w:vAlign w:val="center"/>
          </w:tcPr>
          <w:p w14:paraId="07EF2C90" w14:textId="021D8625" w:rsidR="0027484E" w:rsidRPr="005C082A" w:rsidRDefault="0027484E" w:rsidP="0027484E">
            <w:pPr>
              <w:tabs>
                <w:tab w:val="left" w:pos="9180"/>
              </w:tabs>
              <w:spacing w:before="0" w:line="240" w:lineRule="auto"/>
              <w:ind w:right="29" w:firstLine="0"/>
              <w:jc w:val="left"/>
              <w:rPr>
                <w:szCs w:val="24"/>
                <w:lang w:val="en-GB"/>
              </w:rPr>
            </w:pPr>
            <w:r w:rsidRPr="005C082A">
              <w:rPr>
                <w:szCs w:val="24"/>
                <w:lang w:val="en-GB"/>
              </w:rPr>
              <w:t>Հայաստանի Հանրապետություն։</w:t>
            </w:r>
          </w:p>
        </w:tc>
      </w:tr>
      <w:tr w:rsidR="003A188D" w:rsidRPr="005C082A" w14:paraId="7BAB8C6B" w14:textId="77777777" w:rsidTr="0027484E">
        <w:trPr>
          <w:trHeight w:val="634"/>
        </w:trPr>
        <w:tc>
          <w:tcPr>
            <w:tcW w:w="1346" w:type="dxa"/>
            <w:vAlign w:val="center"/>
            <w:hideMark/>
          </w:tcPr>
          <w:p w14:paraId="41797F4F" w14:textId="60935496" w:rsidR="00AC7646" w:rsidRPr="005C082A" w:rsidRDefault="00A02754" w:rsidP="0027484E">
            <w:pPr>
              <w:tabs>
                <w:tab w:val="left" w:pos="9180"/>
              </w:tabs>
              <w:spacing w:before="0" w:line="240" w:lineRule="auto"/>
              <w:ind w:right="29" w:firstLine="0"/>
              <w:jc w:val="left"/>
              <w:rPr>
                <w:rFonts w:cs="Sylfaen"/>
                <w:b/>
                <w:bCs/>
                <w:szCs w:val="24"/>
                <w:lang w:val="en-GB"/>
              </w:rPr>
            </w:pPr>
            <w:r w:rsidRPr="005C082A">
              <w:rPr>
                <w:rFonts w:cs="Sylfaen"/>
                <w:b/>
                <w:bCs/>
                <w:szCs w:val="24"/>
                <w:lang w:val="en-GB"/>
              </w:rPr>
              <w:t>ՊԸՊ</w:t>
            </w:r>
          </w:p>
        </w:tc>
        <w:tc>
          <w:tcPr>
            <w:tcW w:w="8435" w:type="dxa"/>
            <w:vAlign w:val="center"/>
            <w:hideMark/>
          </w:tcPr>
          <w:p w14:paraId="6D15E2D2" w14:textId="48546383" w:rsidR="00AC7646" w:rsidRPr="005C082A" w:rsidRDefault="00A02754" w:rsidP="0027484E">
            <w:pPr>
              <w:tabs>
                <w:tab w:val="left" w:pos="9180"/>
              </w:tabs>
              <w:spacing w:before="0" w:line="240" w:lineRule="auto"/>
              <w:ind w:right="29" w:firstLine="0"/>
              <w:jc w:val="left"/>
              <w:rPr>
                <w:szCs w:val="24"/>
                <w:lang w:val="hy-AM"/>
              </w:rPr>
            </w:pPr>
            <w:r w:rsidRPr="005C082A">
              <w:rPr>
                <w:szCs w:val="24"/>
                <w:lang w:val="en-GB"/>
              </w:rPr>
              <w:t>Պայմանագրի ընդհանուր պայմաններ</w:t>
            </w:r>
            <w:r w:rsidR="00AC7646" w:rsidRPr="005C082A">
              <w:rPr>
                <w:szCs w:val="24"/>
                <w:lang w:val="hy-AM"/>
              </w:rPr>
              <w:t xml:space="preserve">։ </w:t>
            </w:r>
          </w:p>
        </w:tc>
      </w:tr>
      <w:tr w:rsidR="003A188D" w:rsidRPr="005C082A" w14:paraId="423DDB5D" w14:textId="77777777" w:rsidTr="0027484E">
        <w:trPr>
          <w:trHeight w:val="634"/>
        </w:trPr>
        <w:tc>
          <w:tcPr>
            <w:tcW w:w="1346" w:type="dxa"/>
            <w:vAlign w:val="center"/>
            <w:hideMark/>
          </w:tcPr>
          <w:p w14:paraId="7F36E811" w14:textId="4EAF7C4B" w:rsidR="00F77527" w:rsidRPr="005C082A" w:rsidRDefault="00A02754" w:rsidP="0027484E">
            <w:pPr>
              <w:tabs>
                <w:tab w:val="left" w:pos="9180"/>
              </w:tabs>
              <w:spacing w:before="0"/>
              <w:ind w:right="29" w:firstLine="0"/>
              <w:jc w:val="left"/>
              <w:rPr>
                <w:rFonts w:cs="Sylfaen"/>
                <w:b/>
                <w:bCs/>
                <w:szCs w:val="24"/>
                <w:lang w:val="en-GB"/>
              </w:rPr>
            </w:pPr>
            <w:r w:rsidRPr="005C082A">
              <w:rPr>
                <w:rFonts w:cs="Sylfaen"/>
                <w:b/>
                <w:bCs/>
                <w:szCs w:val="24"/>
                <w:lang w:val="en-GB"/>
              </w:rPr>
              <w:t>ՊՀՊ</w:t>
            </w:r>
          </w:p>
        </w:tc>
        <w:tc>
          <w:tcPr>
            <w:tcW w:w="8435" w:type="dxa"/>
            <w:vAlign w:val="center"/>
            <w:hideMark/>
          </w:tcPr>
          <w:p w14:paraId="7871D679" w14:textId="4A414F74" w:rsidR="00F77527" w:rsidRPr="005C082A" w:rsidRDefault="00A02754" w:rsidP="0027484E">
            <w:pPr>
              <w:spacing w:before="0" w:after="160"/>
              <w:ind w:right="-195" w:firstLine="0"/>
              <w:jc w:val="left"/>
              <w:rPr>
                <w:rFonts w:eastAsia="Calibri"/>
                <w:szCs w:val="24"/>
                <w:lang w:val="en-GB"/>
              </w:rPr>
            </w:pPr>
            <w:r w:rsidRPr="005C082A">
              <w:rPr>
                <w:rFonts w:eastAsia="Calibri"/>
                <w:szCs w:val="24"/>
                <w:lang w:val="en-GB"/>
              </w:rPr>
              <w:t>Պայմանագրի հատուկ պայմաններ։</w:t>
            </w:r>
          </w:p>
        </w:tc>
      </w:tr>
      <w:tr w:rsidR="0027484E" w:rsidRPr="005C082A" w14:paraId="6B537D83" w14:textId="77777777" w:rsidTr="0027484E">
        <w:trPr>
          <w:trHeight w:val="634"/>
        </w:trPr>
        <w:tc>
          <w:tcPr>
            <w:tcW w:w="1346" w:type="dxa"/>
            <w:vAlign w:val="center"/>
          </w:tcPr>
          <w:p w14:paraId="3DAA7E92" w14:textId="779122C7" w:rsidR="0027484E" w:rsidRPr="005C082A" w:rsidRDefault="0027484E" w:rsidP="0027484E">
            <w:pPr>
              <w:tabs>
                <w:tab w:val="left" w:pos="9180"/>
              </w:tabs>
              <w:spacing w:before="0"/>
              <w:ind w:right="29" w:firstLine="0"/>
              <w:jc w:val="left"/>
              <w:rPr>
                <w:rFonts w:cs="Sylfaen"/>
                <w:b/>
                <w:bCs/>
                <w:szCs w:val="24"/>
                <w:lang w:val="en-GB"/>
              </w:rPr>
            </w:pPr>
            <w:r w:rsidRPr="005C082A">
              <w:rPr>
                <w:rFonts w:cs="Sylfaen"/>
                <w:b/>
                <w:bCs/>
                <w:szCs w:val="24"/>
                <w:lang w:val="en-GB"/>
              </w:rPr>
              <w:t>Հ</w:t>
            </w:r>
            <w:r w:rsidRPr="005C082A">
              <w:rPr>
                <w:rFonts w:cs="Sylfaen"/>
                <w:b/>
                <w:bCs/>
                <w:szCs w:val="24"/>
                <w:lang w:val="hy-AM"/>
              </w:rPr>
              <w:t>Ձ</w:t>
            </w:r>
          </w:p>
        </w:tc>
        <w:tc>
          <w:tcPr>
            <w:tcW w:w="8435" w:type="dxa"/>
            <w:vAlign w:val="center"/>
          </w:tcPr>
          <w:p w14:paraId="50C687C5" w14:textId="74EC140A" w:rsidR="0027484E" w:rsidRPr="005C082A" w:rsidRDefault="0027484E" w:rsidP="0027484E">
            <w:pPr>
              <w:spacing w:before="0" w:after="160"/>
              <w:ind w:right="-195" w:firstLine="0"/>
              <w:jc w:val="left"/>
              <w:rPr>
                <w:rFonts w:eastAsia="Calibri"/>
                <w:szCs w:val="24"/>
                <w:lang w:val="en-GB"/>
              </w:rPr>
            </w:pPr>
            <w:r w:rsidRPr="005C082A">
              <w:rPr>
                <w:rFonts w:eastAsia="Calibri"/>
                <w:szCs w:val="24"/>
                <w:lang w:val="en-GB"/>
              </w:rPr>
              <w:t>Համատեղ ձեռնարկություն</w:t>
            </w:r>
          </w:p>
        </w:tc>
      </w:tr>
      <w:tr w:rsidR="0027484E" w:rsidRPr="005C082A" w14:paraId="3E4FB156" w14:textId="77777777" w:rsidTr="0027484E">
        <w:trPr>
          <w:trHeight w:val="634"/>
        </w:trPr>
        <w:tc>
          <w:tcPr>
            <w:tcW w:w="1346" w:type="dxa"/>
            <w:vAlign w:val="center"/>
          </w:tcPr>
          <w:p w14:paraId="3F13814D" w14:textId="1B3953FF" w:rsidR="0027484E" w:rsidRPr="005C082A" w:rsidRDefault="0027484E" w:rsidP="0027484E">
            <w:pPr>
              <w:tabs>
                <w:tab w:val="left" w:pos="9180"/>
              </w:tabs>
              <w:spacing w:before="0"/>
              <w:ind w:right="29" w:firstLine="0"/>
              <w:jc w:val="left"/>
              <w:rPr>
                <w:rFonts w:cs="Sylfaen"/>
                <w:b/>
                <w:bCs/>
                <w:szCs w:val="24"/>
                <w:lang w:val="en-GB"/>
              </w:rPr>
            </w:pPr>
            <w:r w:rsidRPr="005C082A">
              <w:rPr>
                <w:rFonts w:cs="Sylfaen"/>
                <w:b/>
                <w:bCs/>
                <w:szCs w:val="24"/>
                <w:lang w:val="en-GB"/>
              </w:rPr>
              <w:t>ՓԲԸ</w:t>
            </w:r>
          </w:p>
        </w:tc>
        <w:tc>
          <w:tcPr>
            <w:tcW w:w="8435" w:type="dxa"/>
            <w:vAlign w:val="center"/>
          </w:tcPr>
          <w:p w14:paraId="6A5447B4" w14:textId="5AF58987" w:rsidR="0027484E" w:rsidRPr="005C082A" w:rsidRDefault="0027484E" w:rsidP="0027484E">
            <w:pPr>
              <w:spacing w:before="0" w:after="160"/>
              <w:ind w:right="-195" w:firstLine="0"/>
              <w:jc w:val="left"/>
              <w:rPr>
                <w:rFonts w:eastAsia="Calibri"/>
                <w:szCs w:val="24"/>
                <w:lang w:val="en-GB"/>
              </w:rPr>
            </w:pPr>
            <w:r w:rsidRPr="005C082A">
              <w:rPr>
                <w:rFonts w:eastAsia="Calibri"/>
                <w:szCs w:val="24"/>
                <w:lang w:val="en-GB"/>
              </w:rPr>
              <w:t>Փակ բաժնետիրական ընկերություն</w:t>
            </w:r>
          </w:p>
        </w:tc>
      </w:tr>
    </w:tbl>
    <w:p w14:paraId="25EF061E" w14:textId="77777777" w:rsidR="00AC7646" w:rsidRPr="005C082A" w:rsidRDefault="00AC7646" w:rsidP="00AC7646">
      <w:pPr>
        <w:ind w:firstLine="142"/>
        <w:rPr>
          <w:lang w:val="hy-AM"/>
        </w:rPr>
      </w:pPr>
      <w:r w:rsidRPr="005C082A">
        <w:rPr>
          <w:b/>
          <w:lang w:val="hy-AM"/>
        </w:rPr>
        <w:br w:type="page"/>
      </w:r>
    </w:p>
    <w:p w14:paraId="5DCA7F18" w14:textId="77777777" w:rsidR="00AC7646" w:rsidRPr="00650A93" w:rsidRDefault="00AC7646" w:rsidP="00A43096">
      <w:pPr>
        <w:pStyle w:val="Heading1"/>
        <w:numPr>
          <w:ilvl w:val="0"/>
          <w:numId w:val="3"/>
        </w:numPr>
        <w:rPr>
          <w:rStyle w:val="Hyperlink"/>
          <w:color w:val="auto"/>
          <w:u w:val="none"/>
        </w:rPr>
      </w:pPr>
      <w:bookmarkStart w:id="5" w:name="_Toc127462663"/>
      <w:bookmarkStart w:id="6" w:name="_Toc128393694"/>
      <w:r w:rsidRPr="005C082A">
        <w:rPr>
          <w:rStyle w:val="Hyperlink"/>
          <w:color w:val="auto"/>
          <w:u w:val="none"/>
        </w:rPr>
        <w:lastRenderedPageBreak/>
        <w:t>ԱՄՓՈՓԱԳԻՐ</w:t>
      </w:r>
      <w:bookmarkEnd w:id="5"/>
      <w:bookmarkEnd w:id="6"/>
    </w:p>
    <w:p w14:paraId="03134A50" w14:textId="77777777" w:rsidR="00FA0543" w:rsidRPr="005C082A" w:rsidRDefault="00FA0543" w:rsidP="00B57319">
      <w:pPr>
        <w:pStyle w:val="ListParagraph"/>
        <w:spacing w:after="0" w:line="276" w:lineRule="auto"/>
        <w:ind w:left="0" w:firstLine="567"/>
        <w:jc w:val="both"/>
        <w:rPr>
          <w:rFonts w:ascii="GHEA Grapalat" w:hAnsi="GHEA Grapalat"/>
          <w:sz w:val="24"/>
          <w:szCs w:val="24"/>
          <w:lang w:val="fr-FR"/>
        </w:rPr>
      </w:pPr>
      <w:r w:rsidRPr="005C082A">
        <w:rPr>
          <w:rFonts w:ascii="GHEA Grapalat" w:hAnsi="GHEA Grapalat"/>
          <w:sz w:val="24"/>
          <w:szCs w:val="24"/>
          <w:lang w:val="fr-FR"/>
        </w:rPr>
        <w:t xml:space="preserve">Հաշվեքննվել են </w:t>
      </w:r>
    </w:p>
    <w:p w14:paraId="0FA7499B" w14:textId="799349EB" w:rsidR="009E2940" w:rsidRPr="005C082A" w:rsidRDefault="00FA0543" w:rsidP="00B57319">
      <w:pPr>
        <w:pStyle w:val="ListParagraph"/>
        <w:spacing w:after="0" w:line="276" w:lineRule="auto"/>
        <w:ind w:left="0" w:firstLine="567"/>
        <w:jc w:val="both"/>
        <w:rPr>
          <w:rFonts w:ascii="GHEA Grapalat" w:hAnsi="GHEA Grapalat"/>
          <w:sz w:val="24"/>
          <w:szCs w:val="24"/>
          <w:lang w:val="fr-FR"/>
        </w:rPr>
      </w:pPr>
      <w:r w:rsidRPr="005C082A">
        <w:rPr>
          <w:rFonts w:ascii="GHEA Grapalat" w:hAnsi="GHEA Grapalat"/>
          <w:sz w:val="24"/>
          <w:szCs w:val="24"/>
          <w:lang w:val="fr-FR"/>
        </w:rPr>
        <w:t>2017 և 2018 թվականների ՀՀ պետական բյուջեի հետևյալ դ</w:t>
      </w:r>
      <w:r w:rsidR="009E2940" w:rsidRPr="005C082A">
        <w:rPr>
          <w:rFonts w:ascii="GHEA Grapalat" w:hAnsi="GHEA Grapalat"/>
          <w:sz w:val="24"/>
          <w:szCs w:val="24"/>
          <w:lang w:val="fr-FR"/>
        </w:rPr>
        <w:t xml:space="preserve">րամաշնորհային և վարկային </w:t>
      </w:r>
      <w:r w:rsidRPr="005C082A">
        <w:rPr>
          <w:rFonts w:ascii="GHEA Grapalat" w:hAnsi="GHEA Grapalat"/>
          <w:sz w:val="24"/>
          <w:szCs w:val="24"/>
          <w:lang w:val="fr-FR"/>
        </w:rPr>
        <w:t xml:space="preserve">ծրագրերը </w:t>
      </w:r>
      <w:r w:rsidR="009E2940" w:rsidRPr="005C082A">
        <w:rPr>
          <w:rFonts w:ascii="GHEA Grapalat" w:hAnsi="GHEA Grapalat"/>
          <w:sz w:val="24"/>
          <w:szCs w:val="24"/>
          <w:lang w:val="fr-FR"/>
        </w:rPr>
        <w:t>՝</w:t>
      </w:r>
    </w:p>
    <w:p w14:paraId="69E21D06" w14:textId="189EE679" w:rsidR="009E2940" w:rsidRPr="003810E9" w:rsidRDefault="009E2940" w:rsidP="00A87568">
      <w:pPr>
        <w:pStyle w:val="ListParagraph"/>
        <w:numPr>
          <w:ilvl w:val="0"/>
          <w:numId w:val="35"/>
        </w:numPr>
        <w:spacing w:after="0" w:line="276" w:lineRule="auto"/>
        <w:ind w:left="709"/>
        <w:jc w:val="both"/>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Ասիական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զարգացման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w:t>
      </w:r>
      <w:r w:rsidRPr="005C082A">
        <w:rPr>
          <w:rFonts w:ascii="GHEA Grapalat" w:eastAsia="Times New Roman" w:hAnsi="GHEA Grapalat" w:cs="Calibri"/>
          <w:color w:val="000000"/>
          <w:sz w:val="24"/>
          <w:szCs w:val="24"/>
          <w:lang w:val="fr-FR"/>
        </w:rPr>
        <w:t xml:space="preserve">-6 </w:t>
      </w:r>
      <w:r w:rsidRPr="005C082A">
        <w:rPr>
          <w:rFonts w:ascii="GHEA Grapalat" w:eastAsia="Times New Roman" w:hAnsi="GHEA Grapalat" w:cs="Calibri"/>
          <w:color w:val="000000"/>
          <w:sz w:val="24"/>
          <w:szCs w:val="24"/>
        </w:rPr>
        <w:t>Վանաձոր</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Ալավերդի</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Վրաստանի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սահման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միջպետական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վերականգնման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ծրագիր</w:t>
      </w:r>
      <w:r w:rsidR="0003223B" w:rsidRPr="005C082A">
        <w:rPr>
          <w:rFonts w:ascii="GHEA Grapalat" w:eastAsia="Times New Roman" w:hAnsi="GHEA Grapalat" w:cs="Calibri"/>
          <w:color w:val="000000"/>
          <w:sz w:val="24"/>
          <w:szCs w:val="24"/>
          <w:lang w:val="fr-FR"/>
        </w:rPr>
        <w:t xml:space="preserve"> (2017թ. 04050120, 2018թ. 04050118)</w:t>
      </w:r>
      <w:r w:rsidR="00F85218" w:rsidRPr="005C082A">
        <w:rPr>
          <w:rFonts w:ascii="GHEA Grapalat" w:eastAsia="Times New Roman" w:hAnsi="GHEA Grapalat" w:cs="Calibri"/>
          <w:color w:val="000000"/>
          <w:sz w:val="24"/>
          <w:szCs w:val="24"/>
        </w:rPr>
        <w:t>։</w:t>
      </w:r>
      <w:r w:rsidRPr="003810E9">
        <w:rPr>
          <w:rStyle w:val="FootnoteReference"/>
          <w:rFonts w:ascii="GHEA Grapalat" w:eastAsia="Times New Roman" w:hAnsi="GHEA Grapalat" w:cs="Calibri"/>
          <w:b/>
          <w:color w:val="000000"/>
          <w:sz w:val="24"/>
          <w:szCs w:val="24"/>
        </w:rPr>
        <w:footnoteReference w:id="1"/>
      </w:r>
    </w:p>
    <w:p w14:paraId="67B88687" w14:textId="33E6B36C" w:rsidR="009E2940" w:rsidRPr="005C082A" w:rsidRDefault="009E2940" w:rsidP="00A87568">
      <w:pPr>
        <w:pStyle w:val="ListParagraph"/>
        <w:numPr>
          <w:ilvl w:val="0"/>
          <w:numId w:val="35"/>
        </w:numPr>
        <w:spacing w:after="0" w:line="276" w:lineRule="auto"/>
        <w:ind w:left="709"/>
        <w:jc w:val="both"/>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Եվրոպական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ներդրումային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w:t>
      </w:r>
      <w:r w:rsidRPr="005C082A">
        <w:rPr>
          <w:rFonts w:ascii="GHEA Grapalat" w:eastAsia="Times New Roman" w:hAnsi="GHEA Grapalat" w:cs="Calibri"/>
          <w:color w:val="000000"/>
          <w:sz w:val="24"/>
          <w:szCs w:val="24"/>
          <w:lang w:val="fr-FR"/>
        </w:rPr>
        <w:t xml:space="preserve">6 </w:t>
      </w:r>
      <w:r w:rsidRPr="005C082A">
        <w:rPr>
          <w:rFonts w:ascii="GHEA Grapalat" w:eastAsia="Times New Roman" w:hAnsi="GHEA Grapalat" w:cs="Calibri"/>
          <w:color w:val="000000"/>
          <w:sz w:val="24"/>
          <w:szCs w:val="24"/>
        </w:rPr>
        <w:t>Վանաձոր</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Ալավերդի</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Վրաստանի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սահման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միջպետական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վերականգնման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ծրագիր</w:t>
      </w:r>
      <w:r w:rsidR="0003223B" w:rsidRPr="005C082A">
        <w:rPr>
          <w:rFonts w:ascii="GHEA Grapalat" w:eastAsia="Times New Roman" w:hAnsi="GHEA Grapalat" w:cs="Calibri"/>
          <w:color w:val="000000"/>
          <w:sz w:val="24"/>
          <w:szCs w:val="24"/>
          <w:lang w:val="fr-FR"/>
        </w:rPr>
        <w:t xml:space="preserve"> (2017թ. 04050121, 2018թ. 04050119)</w:t>
      </w:r>
      <w:r w:rsidR="00F85218" w:rsidRPr="005C082A">
        <w:rPr>
          <w:rFonts w:ascii="GHEA Grapalat" w:eastAsia="Times New Roman" w:hAnsi="GHEA Grapalat" w:cs="Calibri"/>
          <w:color w:val="000000"/>
          <w:sz w:val="24"/>
          <w:szCs w:val="24"/>
        </w:rPr>
        <w:t>։</w:t>
      </w:r>
    </w:p>
    <w:p w14:paraId="3C7C5B37" w14:textId="6F9ADDAB" w:rsidR="009E2940" w:rsidRPr="005C082A" w:rsidRDefault="009E2940" w:rsidP="00A87568">
      <w:pPr>
        <w:pStyle w:val="ListParagraph"/>
        <w:numPr>
          <w:ilvl w:val="0"/>
          <w:numId w:val="35"/>
        </w:numPr>
        <w:spacing w:after="0" w:line="276" w:lineRule="auto"/>
        <w:ind w:left="709"/>
        <w:jc w:val="both"/>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Համաշխարհային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Կենսական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ճանապարհացանցի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ծրագիր</w:t>
      </w:r>
      <w:r w:rsidR="0003223B" w:rsidRPr="005C082A">
        <w:rPr>
          <w:rFonts w:ascii="GHEA Grapalat" w:eastAsia="Times New Roman" w:hAnsi="GHEA Grapalat" w:cs="Calibri"/>
          <w:color w:val="000000"/>
          <w:sz w:val="24"/>
          <w:szCs w:val="24"/>
          <w:lang w:val="fr-FR"/>
        </w:rPr>
        <w:t xml:space="preserve"> (2017թ. 04050110, 2018թ. 04050108)</w:t>
      </w:r>
      <w:r w:rsidR="00F85218" w:rsidRPr="005C082A">
        <w:rPr>
          <w:rFonts w:ascii="GHEA Grapalat" w:eastAsia="Times New Roman" w:hAnsi="GHEA Grapalat" w:cs="Calibri"/>
          <w:color w:val="000000"/>
          <w:sz w:val="24"/>
          <w:szCs w:val="24"/>
        </w:rPr>
        <w:t>։</w:t>
      </w:r>
    </w:p>
    <w:p w14:paraId="09718B4B" w14:textId="7310D139" w:rsidR="009E2940" w:rsidRPr="005C082A" w:rsidRDefault="009E2940" w:rsidP="00A87568">
      <w:pPr>
        <w:pStyle w:val="ListParagraph"/>
        <w:numPr>
          <w:ilvl w:val="0"/>
          <w:numId w:val="35"/>
        </w:numPr>
        <w:spacing w:after="0" w:line="276" w:lineRule="auto"/>
        <w:ind w:left="709"/>
        <w:jc w:val="both"/>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Համաշխարհային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Կենսական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ճանապարհացանցի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լրացուցիչ</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ծրագիր</w:t>
      </w:r>
      <w:r w:rsidR="0003223B" w:rsidRPr="005C082A">
        <w:rPr>
          <w:rFonts w:ascii="GHEA Grapalat" w:eastAsia="Times New Roman" w:hAnsi="GHEA Grapalat" w:cs="Calibri"/>
          <w:color w:val="000000"/>
          <w:sz w:val="24"/>
          <w:szCs w:val="24"/>
          <w:lang w:val="fr-FR"/>
        </w:rPr>
        <w:t xml:space="preserve"> (2017թ. 04050118, 2018թ. 04050116)</w:t>
      </w:r>
      <w:r w:rsidR="00F85218" w:rsidRPr="005C082A">
        <w:rPr>
          <w:rFonts w:ascii="GHEA Grapalat" w:eastAsia="Times New Roman" w:hAnsi="GHEA Grapalat" w:cs="Calibri"/>
          <w:color w:val="000000"/>
          <w:sz w:val="24"/>
          <w:szCs w:val="24"/>
        </w:rPr>
        <w:t>։</w:t>
      </w:r>
    </w:p>
    <w:p w14:paraId="0BEEB6DA" w14:textId="58A672FB" w:rsidR="009E2940" w:rsidRPr="005C082A" w:rsidRDefault="009E2940" w:rsidP="00B57319">
      <w:pPr>
        <w:pStyle w:val="ListParagraph"/>
        <w:spacing w:after="0" w:line="276" w:lineRule="auto"/>
        <w:ind w:left="0" w:firstLine="567"/>
        <w:jc w:val="both"/>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lang w:val="fr-FR"/>
        </w:rPr>
        <w:t xml:space="preserve">2019 </w:t>
      </w:r>
      <w:r w:rsidRPr="005C082A">
        <w:rPr>
          <w:rFonts w:ascii="GHEA Grapalat" w:eastAsia="Times New Roman" w:hAnsi="GHEA Grapalat" w:cs="Calibri"/>
          <w:color w:val="000000"/>
          <w:sz w:val="24"/>
          <w:szCs w:val="24"/>
        </w:rPr>
        <w:t>թվականի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ՀՀ</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պետական</w:t>
      </w:r>
      <w:r w:rsidRPr="005C082A">
        <w:rPr>
          <w:rFonts w:ascii="GHEA Grapalat" w:eastAsia="Times New Roman" w:hAnsi="GHEA Grapalat" w:cs="Calibri"/>
          <w:color w:val="000000"/>
          <w:sz w:val="24"/>
          <w:szCs w:val="24"/>
          <w:lang w:val="fr-FR"/>
        </w:rPr>
        <w:t xml:space="preserve"> </w:t>
      </w:r>
      <w:r w:rsidR="00FA0543" w:rsidRPr="005C082A">
        <w:rPr>
          <w:rFonts w:ascii="GHEA Grapalat" w:eastAsia="Times New Roman" w:hAnsi="GHEA Grapalat" w:cs="Calibri"/>
          <w:color w:val="000000"/>
          <w:sz w:val="24"/>
          <w:szCs w:val="24"/>
        </w:rPr>
        <w:t>բյուջեի</w:t>
      </w:r>
      <w:r w:rsidR="00FA0543" w:rsidRPr="005C082A">
        <w:rPr>
          <w:rFonts w:ascii="GHEA Grapalat" w:eastAsia="Times New Roman" w:hAnsi="GHEA Grapalat" w:cs="Calibri"/>
          <w:color w:val="000000"/>
          <w:sz w:val="24"/>
          <w:szCs w:val="24"/>
          <w:lang w:val="fr-FR"/>
        </w:rPr>
        <w:t xml:space="preserve"> Ճանապարհային ցանցի բարելավման ծրագրի հետևյալ միջոցառումները</w:t>
      </w:r>
      <w:r w:rsidR="00F85218" w:rsidRPr="005C082A">
        <w:rPr>
          <w:rFonts w:ascii="GHEA Grapalat" w:eastAsia="Times New Roman" w:hAnsi="GHEA Grapalat" w:cs="Calibri"/>
          <w:color w:val="000000"/>
          <w:sz w:val="24"/>
          <w:szCs w:val="24"/>
        </w:rPr>
        <w:t>՝</w:t>
      </w:r>
    </w:p>
    <w:p w14:paraId="214B3736" w14:textId="15E4EBF5" w:rsidR="009E2940" w:rsidRPr="005C082A" w:rsidRDefault="009E2940" w:rsidP="00A87568">
      <w:pPr>
        <w:pStyle w:val="ListParagraph"/>
        <w:numPr>
          <w:ilvl w:val="0"/>
          <w:numId w:val="36"/>
        </w:numPr>
        <w:spacing w:after="0"/>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Ասիական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զարգացման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w:t>
      </w:r>
      <w:r w:rsidRPr="005C082A">
        <w:rPr>
          <w:rFonts w:ascii="GHEA Grapalat" w:eastAsia="Times New Roman" w:hAnsi="GHEA Grapalat" w:cs="Calibri"/>
          <w:color w:val="000000"/>
          <w:sz w:val="24"/>
          <w:szCs w:val="24"/>
          <w:lang w:val="fr-FR"/>
        </w:rPr>
        <w:t xml:space="preserve">-6 </w:t>
      </w:r>
      <w:r w:rsidRPr="005C082A">
        <w:rPr>
          <w:rFonts w:ascii="GHEA Grapalat" w:eastAsia="Times New Roman" w:hAnsi="GHEA Grapalat" w:cs="Calibri"/>
          <w:color w:val="000000"/>
          <w:sz w:val="24"/>
          <w:szCs w:val="24"/>
        </w:rPr>
        <w:t>Վանաձոր</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Ալավերդի</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Վրաստանի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սահման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միջպետական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կառուցում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հիմնանորոգում</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21004)</w:t>
      </w:r>
      <w:r w:rsidR="00F85218" w:rsidRPr="005C082A">
        <w:rPr>
          <w:rFonts w:ascii="GHEA Grapalat" w:eastAsia="Times New Roman" w:hAnsi="GHEA Grapalat" w:cs="Calibri"/>
          <w:color w:val="000000"/>
          <w:sz w:val="24"/>
          <w:szCs w:val="24"/>
        </w:rPr>
        <w:t>։</w:t>
      </w:r>
      <w:proofErr w:type="gramEnd"/>
    </w:p>
    <w:p w14:paraId="43C03F11" w14:textId="09308374" w:rsidR="009E2940" w:rsidRPr="005C082A" w:rsidRDefault="009E2940" w:rsidP="00A87568">
      <w:pPr>
        <w:pStyle w:val="ListParagraph"/>
        <w:numPr>
          <w:ilvl w:val="0"/>
          <w:numId w:val="36"/>
        </w:numPr>
        <w:spacing w:after="0"/>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Ասիական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զարգացման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Հայաստան</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Վրաստանի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սահմանային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տարածաշրջանային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w:t>
      </w:r>
      <w:r w:rsidRPr="005C082A">
        <w:rPr>
          <w:rFonts w:ascii="GHEA Grapalat" w:eastAsia="Times New Roman" w:hAnsi="GHEA Grapalat" w:cs="Calibri"/>
          <w:color w:val="000000"/>
          <w:sz w:val="24"/>
          <w:szCs w:val="24"/>
          <w:lang w:val="fr-FR"/>
        </w:rPr>
        <w:t xml:space="preserve">6 </w:t>
      </w:r>
      <w:r w:rsidRPr="005C082A">
        <w:rPr>
          <w:rFonts w:ascii="GHEA Grapalat" w:eastAsia="Times New Roman" w:hAnsi="GHEA Grapalat" w:cs="Calibri"/>
          <w:color w:val="000000"/>
          <w:sz w:val="24"/>
          <w:szCs w:val="24"/>
        </w:rPr>
        <w:t>Վանաձոր</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Բագրատաշեն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համակարգում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կառավարում</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11007)։</w:t>
      </w:r>
      <w:proofErr w:type="gramEnd"/>
    </w:p>
    <w:p w14:paraId="258F8608" w14:textId="252FAAD2" w:rsidR="00C97F73" w:rsidRPr="00650A93" w:rsidRDefault="00C97F73" w:rsidP="00A87568">
      <w:pPr>
        <w:pStyle w:val="ListParagraph"/>
        <w:numPr>
          <w:ilvl w:val="0"/>
          <w:numId w:val="36"/>
        </w:numPr>
        <w:spacing w:after="0"/>
        <w:rPr>
          <w:rFonts w:ascii="GHEA Grapalat" w:eastAsia="Times New Roman" w:hAnsi="GHEA Grapalat" w:cs="Calibri"/>
          <w:color w:val="000000"/>
          <w:szCs w:val="24"/>
          <w:lang w:val="fr-FR"/>
        </w:rPr>
      </w:pPr>
      <w:r w:rsidRPr="005C082A">
        <w:rPr>
          <w:rFonts w:ascii="GHEA Grapalat" w:eastAsia="Times New Roman" w:hAnsi="GHEA Grapalat" w:cs="Calibri"/>
          <w:color w:val="000000"/>
          <w:sz w:val="24"/>
          <w:szCs w:val="24"/>
        </w:rPr>
        <w:lastRenderedPageBreak/>
        <w:t>Եվրոպական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ներդրումային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w:t>
      </w:r>
      <w:r w:rsidRPr="005C082A">
        <w:rPr>
          <w:rFonts w:ascii="GHEA Grapalat" w:eastAsia="Times New Roman" w:hAnsi="GHEA Grapalat" w:cs="Calibri"/>
          <w:color w:val="000000"/>
          <w:sz w:val="24"/>
          <w:szCs w:val="24"/>
          <w:lang w:val="fr-FR"/>
        </w:rPr>
        <w:t xml:space="preserve">6 </w:t>
      </w:r>
      <w:r w:rsidRPr="005C082A">
        <w:rPr>
          <w:rFonts w:ascii="GHEA Grapalat" w:eastAsia="Times New Roman" w:hAnsi="GHEA Grapalat" w:cs="Calibri"/>
          <w:color w:val="000000"/>
          <w:sz w:val="24"/>
          <w:szCs w:val="24"/>
        </w:rPr>
        <w:t>Վանաձոր</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Ալավերդի</w:t>
      </w:r>
      <w:r w:rsidRPr="005C082A">
        <w:rPr>
          <w:rFonts w:ascii="GHEA Grapalat" w:eastAsia="Times New Roman" w:hAnsi="GHEA Grapalat" w:cs="Calibri"/>
          <w:color w:val="000000"/>
          <w:sz w:val="24"/>
          <w:szCs w:val="24"/>
          <w:lang w:val="fr-FR"/>
        </w:rPr>
        <w:t>-</w:t>
      </w:r>
      <w:r w:rsidRPr="005C082A">
        <w:rPr>
          <w:rFonts w:ascii="GHEA Grapalat" w:eastAsia="Times New Roman" w:hAnsi="GHEA Grapalat" w:cs="Calibri"/>
          <w:color w:val="000000"/>
          <w:sz w:val="24"/>
          <w:szCs w:val="24"/>
        </w:rPr>
        <w:t>Վրաստանի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սահման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միջպետական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վերականգնման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համակարգում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կառավարում</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11008)</w:t>
      </w:r>
      <w:r w:rsidR="00F85218" w:rsidRPr="005C082A">
        <w:rPr>
          <w:rFonts w:ascii="GHEA Grapalat" w:eastAsia="Times New Roman" w:hAnsi="GHEA Grapalat" w:cs="Calibri"/>
          <w:color w:val="000000"/>
          <w:sz w:val="24"/>
          <w:szCs w:val="24"/>
        </w:rPr>
        <w:t>։</w:t>
      </w:r>
      <w:proofErr w:type="gramEnd"/>
    </w:p>
    <w:p w14:paraId="41E2595A" w14:textId="30B8FE2D" w:rsidR="009E2940" w:rsidRPr="005C082A" w:rsidRDefault="009E2940" w:rsidP="00A87568">
      <w:pPr>
        <w:pStyle w:val="ListParagraph"/>
        <w:numPr>
          <w:ilvl w:val="0"/>
          <w:numId w:val="36"/>
        </w:numPr>
        <w:spacing w:after="0"/>
        <w:rPr>
          <w:rFonts w:ascii="GHEA Grapalat" w:eastAsia="Times New Roman" w:hAnsi="GHEA Grapalat" w:cs="Calibri"/>
          <w:color w:val="000000"/>
          <w:sz w:val="24"/>
          <w:szCs w:val="24"/>
          <w:lang w:val="fr-FR"/>
        </w:rPr>
      </w:pPr>
      <w:r w:rsidRPr="003810E9">
        <w:rPr>
          <w:rFonts w:ascii="GHEA Grapalat" w:eastAsia="Times New Roman" w:hAnsi="GHEA Grapalat" w:cs="Calibri"/>
          <w:color w:val="000000"/>
          <w:sz w:val="24"/>
          <w:szCs w:val="24"/>
        </w:rPr>
        <w:t>Համաշխարհային</w:t>
      </w:r>
      <w:r w:rsidRPr="003810E9">
        <w:rPr>
          <w:rFonts w:ascii="GHEA Grapalat" w:eastAsia="Times New Roman" w:hAnsi="GHEA Grapalat" w:cs="Calibri"/>
          <w:color w:val="000000"/>
          <w:sz w:val="24"/>
          <w:szCs w:val="24"/>
          <w:lang w:val="fr-FR"/>
        </w:rPr>
        <w:t xml:space="preserve"> </w:t>
      </w:r>
      <w:r w:rsidRPr="003810E9">
        <w:rPr>
          <w:rFonts w:ascii="GHEA Grapalat" w:eastAsia="Times New Roman" w:hAnsi="GHEA Grapalat" w:cs="Calibri"/>
          <w:color w:val="000000"/>
          <w:sz w:val="24"/>
          <w:szCs w:val="24"/>
        </w:rPr>
        <w:t>բանկի</w:t>
      </w:r>
      <w:r w:rsidRPr="003810E9">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Կենսական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ճանապարհացանցի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շրջանակներում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համակարգում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կառավարում</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11005)</w:t>
      </w:r>
      <w:r w:rsidR="00F85218" w:rsidRPr="005C082A">
        <w:rPr>
          <w:rFonts w:ascii="GHEA Grapalat" w:eastAsia="Times New Roman" w:hAnsi="GHEA Grapalat" w:cs="Calibri"/>
          <w:color w:val="000000"/>
          <w:sz w:val="24"/>
          <w:szCs w:val="24"/>
        </w:rPr>
        <w:t>։</w:t>
      </w:r>
      <w:proofErr w:type="gramEnd"/>
    </w:p>
    <w:p w14:paraId="51D6F258" w14:textId="43FBCD8D" w:rsidR="00C97F73" w:rsidRPr="005C082A" w:rsidRDefault="009E2940" w:rsidP="00A87568">
      <w:pPr>
        <w:pStyle w:val="ListParagraph"/>
        <w:numPr>
          <w:ilvl w:val="0"/>
          <w:numId w:val="36"/>
        </w:numPr>
        <w:spacing w:after="0"/>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Համաշխարհային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Կենսական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ճանապարհացանցի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լրացուցիչ</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շրջանակներում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համակարգում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և</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կառավարում</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11006)</w:t>
      </w:r>
      <w:r w:rsidR="00F85218" w:rsidRPr="005C082A">
        <w:rPr>
          <w:rFonts w:ascii="GHEA Grapalat" w:eastAsia="Times New Roman" w:hAnsi="GHEA Grapalat" w:cs="Calibri"/>
          <w:color w:val="000000"/>
          <w:sz w:val="24"/>
          <w:szCs w:val="24"/>
        </w:rPr>
        <w:t>։</w:t>
      </w:r>
      <w:proofErr w:type="gramEnd"/>
    </w:p>
    <w:p w14:paraId="22F762D3" w14:textId="3E5F9CD6" w:rsidR="009E2940" w:rsidRPr="005C082A" w:rsidRDefault="009E2940" w:rsidP="00A87568">
      <w:pPr>
        <w:pStyle w:val="ListParagraph"/>
        <w:numPr>
          <w:ilvl w:val="0"/>
          <w:numId w:val="36"/>
        </w:numPr>
        <w:spacing w:after="0"/>
        <w:rPr>
          <w:rFonts w:ascii="GHEA Grapalat" w:eastAsia="Times New Roman" w:hAnsi="GHEA Grapalat" w:cs="Calibri"/>
          <w:color w:val="000000"/>
          <w:sz w:val="24"/>
          <w:szCs w:val="24"/>
          <w:lang w:val="fr-FR"/>
        </w:rPr>
      </w:pPr>
      <w:r w:rsidRPr="005C082A">
        <w:rPr>
          <w:rFonts w:ascii="GHEA Grapalat" w:eastAsia="Times New Roman" w:hAnsi="GHEA Grapalat" w:cs="Calibri"/>
          <w:color w:val="000000"/>
          <w:sz w:val="24"/>
          <w:szCs w:val="24"/>
        </w:rPr>
        <w:t>Համաշխարհային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բանկի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աջակցությամբ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իրականացվող</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Կենսական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նշանակության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ճանապարհ</w:t>
      </w:r>
      <w:r w:rsidR="00C4662B" w:rsidRPr="005C082A">
        <w:rPr>
          <w:rFonts w:ascii="GHEA Grapalat" w:eastAsia="Times New Roman" w:hAnsi="GHEA Grapalat" w:cs="Calibri"/>
          <w:color w:val="000000"/>
          <w:sz w:val="24"/>
          <w:szCs w:val="24"/>
        </w:rPr>
        <w:t>ային</w:t>
      </w:r>
      <w:r w:rsidR="00C4662B"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ցանցի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բարելավման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լրացուցիչ</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շրջանակներում</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ավտոճանապարհների</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բարեկարգման</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աշխատանքներ</w:t>
      </w:r>
      <w:r w:rsidR="0003223B" w:rsidRPr="005C082A">
        <w:rPr>
          <w:rFonts w:ascii="GHEA Grapalat" w:eastAsia="Times New Roman" w:hAnsi="GHEA Grapalat" w:cs="Calibri"/>
          <w:color w:val="000000"/>
          <w:sz w:val="24"/>
          <w:szCs w:val="24"/>
          <w:lang w:val="fr-FR"/>
        </w:rPr>
        <w:t xml:space="preserve"> (1049-</w:t>
      </w:r>
      <w:proofErr w:type="gramStart"/>
      <w:r w:rsidR="0003223B" w:rsidRPr="005C082A">
        <w:rPr>
          <w:rFonts w:ascii="GHEA Grapalat" w:eastAsia="Times New Roman" w:hAnsi="GHEA Grapalat" w:cs="Calibri"/>
          <w:color w:val="000000"/>
          <w:sz w:val="24"/>
          <w:szCs w:val="24"/>
          <w:lang w:val="fr-FR"/>
        </w:rPr>
        <w:t>21003)</w:t>
      </w:r>
      <w:r w:rsidR="00F85218" w:rsidRPr="005C082A">
        <w:rPr>
          <w:rFonts w:ascii="GHEA Grapalat" w:eastAsia="Times New Roman" w:hAnsi="GHEA Grapalat" w:cs="Calibri"/>
          <w:color w:val="000000"/>
          <w:sz w:val="24"/>
          <w:szCs w:val="24"/>
        </w:rPr>
        <w:t>։</w:t>
      </w:r>
      <w:proofErr w:type="gramEnd"/>
    </w:p>
    <w:p w14:paraId="39961322" w14:textId="00634898" w:rsidR="009E2940" w:rsidRPr="003810E9" w:rsidRDefault="00C97F73" w:rsidP="00B57319">
      <w:pPr>
        <w:pStyle w:val="ListParagraph"/>
        <w:spacing w:after="0" w:line="276" w:lineRule="auto"/>
        <w:ind w:left="0" w:firstLine="567"/>
        <w:jc w:val="both"/>
        <w:rPr>
          <w:rFonts w:ascii="GHEA Grapalat" w:hAnsi="GHEA Grapalat"/>
          <w:sz w:val="24"/>
          <w:szCs w:val="24"/>
          <w:lang w:val="fr-FR"/>
        </w:rPr>
      </w:pPr>
      <w:r w:rsidRPr="005C082A">
        <w:rPr>
          <w:rFonts w:ascii="GHEA Grapalat" w:eastAsia="Times New Roman" w:hAnsi="GHEA Grapalat" w:cs="Calibri"/>
          <w:color w:val="000000"/>
          <w:sz w:val="24"/>
          <w:szCs w:val="24"/>
        </w:rPr>
        <w:t>Նշված</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ծրագրերի</w:t>
      </w:r>
      <w:r w:rsidRPr="005C082A">
        <w:rPr>
          <w:rFonts w:ascii="GHEA Grapalat" w:eastAsia="Times New Roman" w:hAnsi="GHEA Grapalat" w:cs="Calibri"/>
          <w:color w:val="000000"/>
          <w:sz w:val="24"/>
          <w:szCs w:val="24"/>
          <w:lang w:val="fr-FR"/>
        </w:rPr>
        <w:t xml:space="preserve"> </w:t>
      </w:r>
      <w:r w:rsidR="00024527" w:rsidRPr="005C082A">
        <w:rPr>
          <w:rFonts w:ascii="GHEA Grapalat" w:eastAsia="Times New Roman" w:hAnsi="GHEA Grapalat" w:cs="Calibri"/>
          <w:color w:val="000000"/>
          <w:sz w:val="24"/>
          <w:szCs w:val="24"/>
        </w:rPr>
        <w:t>և</w:t>
      </w:r>
      <w:r w:rsidR="00024527" w:rsidRPr="005C082A">
        <w:rPr>
          <w:rFonts w:ascii="GHEA Grapalat" w:eastAsia="Times New Roman" w:hAnsi="GHEA Grapalat" w:cs="Calibri"/>
          <w:color w:val="000000"/>
          <w:sz w:val="24"/>
          <w:szCs w:val="24"/>
          <w:lang w:val="fr-FR"/>
        </w:rPr>
        <w:t xml:space="preserve"> </w:t>
      </w:r>
      <w:r w:rsidR="00024527" w:rsidRPr="005C082A">
        <w:rPr>
          <w:rFonts w:ascii="GHEA Grapalat" w:eastAsia="Times New Roman" w:hAnsi="GHEA Grapalat" w:cs="Calibri"/>
          <w:color w:val="000000"/>
          <w:sz w:val="24"/>
          <w:szCs w:val="24"/>
        </w:rPr>
        <w:t>միջոցառումների</w:t>
      </w:r>
      <w:r w:rsidR="00024527"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հաշվեքննությամբ</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արձանագրվել</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է</w:t>
      </w:r>
      <w:r w:rsidRPr="005C082A">
        <w:rPr>
          <w:rFonts w:ascii="GHEA Grapalat" w:eastAsia="Times New Roman" w:hAnsi="GHEA Grapalat" w:cs="Calibri"/>
          <w:color w:val="000000"/>
          <w:sz w:val="24"/>
          <w:szCs w:val="24"/>
          <w:lang w:val="fr-FR"/>
        </w:rPr>
        <w:t xml:space="preserve">, </w:t>
      </w:r>
      <w:r w:rsidRPr="005C082A">
        <w:rPr>
          <w:rFonts w:ascii="GHEA Grapalat" w:eastAsia="Times New Roman" w:hAnsi="GHEA Grapalat" w:cs="Calibri"/>
          <w:color w:val="000000"/>
          <w:sz w:val="24"/>
          <w:szCs w:val="24"/>
        </w:rPr>
        <w:t>որ</w:t>
      </w:r>
    </w:p>
    <w:p w14:paraId="4F220615" w14:textId="6B5D2CC3" w:rsidR="00152611" w:rsidRPr="003810E9" w:rsidRDefault="007A722B" w:rsidP="00152611">
      <w:pPr>
        <w:pStyle w:val="ListParagraph"/>
        <w:numPr>
          <w:ilvl w:val="0"/>
          <w:numId w:val="33"/>
        </w:numPr>
        <w:spacing w:after="0" w:line="276" w:lineRule="auto"/>
        <w:ind w:left="0" w:firstLine="360"/>
        <w:jc w:val="both"/>
        <w:rPr>
          <w:rFonts w:ascii="GHEA Grapalat" w:hAnsi="GHEA Grapalat"/>
          <w:sz w:val="24"/>
          <w:szCs w:val="24"/>
          <w:lang w:val="fr-FR"/>
        </w:rPr>
      </w:pPr>
      <w:r w:rsidRPr="005C082A">
        <w:rPr>
          <w:rFonts w:ascii="GHEA Grapalat" w:hAnsi="GHEA Grapalat"/>
          <w:sz w:val="24"/>
          <w:szCs w:val="24"/>
          <w:lang w:val="hy-AM"/>
        </w:rPr>
        <w:t>Եվրոպական ներդրումային բանկի աջակցությամբ</w:t>
      </w:r>
      <w:r w:rsidRPr="005C082A">
        <w:rPr>
          <w:rFonts w:ascii="GHEA Grapalat" w:hAnsi="GHEA Grapalat"/>
          <w:sz w:val="24"/>
          <w:szCs w:val="24"/>
          <w:lang w:val="fr-FR"/>
        </w:rPr>
        <w:t xml:space="preserve"> </w:t>
      </w:r>
      <w:r w:rsidRPr="005C082A">
        <w:rPr>
          <w:rFonts w:ascii="GHEA Grapalat" w:hAnsi="GHEA Grapalat"/>
          <w:sz w:val="24"/>
          <w:szCs w:val="24"/>
          <w:lang w:val="hy-AM"/>
        </w:rPr>
        <w:t>իրականացվող</w:t>
      </w:r>
      <w:r w:rsidRPr="005C082A">
        <w:rPr>
          <w:rFonts w:ascii="GHEA Grapalat" w:hAnsi="GHEA Grapalat"/>
          <w:sz w:val="24"/>
          <w:szCs w:val="24"/>
          <w:lang w:val="fr-FR"/>
        </w:rPr>
        <w:t xml:space="preserve"> </w:t>
      </w:r>
      <w:r w:rsidRPr="005C082A">
        <w:rPr>
          <w:rFonts w:ascii="GHEA Grapalat" w:hAnsi="GHEA Grapalat"/>
          <w:sz w:val="24"/>
          <w:szCs w:val="24"/>
          <w:lang w:val="hy-AM"/>
        </w:rPr>
        <w:t>Մ</w:t>
      </w:r>
      <w:r w:rsidRPr="005C082A">
        <w:rPr>
          <w:rFonts w:ascii="GHEA Grapalat" w:hAnsi="GHEA Grapalat"/>
          <w:sz w:val="24"/>
          <w:szCs w:val="24"/>
          <w:lang w:val="fr-FR"/>
        </w:rPr>
        <w:t xml:space="preserve">6 </w:t>
      </w:r>
      <w:r w:rsidRPr="005C082A">
        <w:rPr>
          <w:rFonts w:ascii="GHEA Grapalat" w:hAnsi="GHEA Grapalat"/>
          <w:sz w:val="24"/>
          <w:szCs w:val="24"/>
          <w:lang w:val="hy-AM"/>
        </w:rPr>
        <w:t>Վանաձոր</w:t>
      </w:r>
      <w:r w:rsidRPr="005C082A">
        <w:rPr>
          <w:rFonts w:ascii="GHEA Grapalat" w:hAnsi="GHEA Grapalat"/>
          <w:sz w:val="24"/>
          <w:szCs w:val="24"/>
          <w:lang w:val="fr-FR"/>
        </w:rPr>
        <w:t>-</w:t>
      </w:r>
      <w:r w:rsidRPr="005C082A">
        <w:rPr>
          <w:rFonts w:ascii="GHEA Grapalat" w:hAnsi="GHEA Grapalat"/>
          <w:sz w:val="24"/>
          <w:szCs w:val="24"/>
          <w:lang w:val="hy-AM"/>
        </w:rPr>
        <w:t>Ալավերդի</w:t>
      </w:r>
      <w:r w:rsidRPr="005C082A">
        <w:rPr>
          <w:rFonts w:ascii="GHEA Grapalat" w:hAnsi="GHEA Grapalat"/>
          <w:sz w:val="24"/>
          <w:szCs w:val="24"/>
          <w:lang w:val="fr-FR"/>
        </w:rPr>
        <w:t>-</w:t>
      </w:r>
      <w:r w:rsidRPr="005C082A">
        <w:rPr>
          <w:rFonts w:ascii="GHEA Grapalat" w:hAnsi="GHEA Grapalat"/>
          <w:sz w:val="24"/>
          <w:szCs w:val="24"/>
          <w:lang w:val="hy-AM"/>
        </w:rPr>
        <w:t>Վրաստանի</w:t>
      </w:r>
      <w:r w:rsidRPr="005C082A">
        <w:rPr>
          <w:rFonts w:ascii="GHEA Grapalat" w:hAnsi="GHEA Grapalat"/>
          <w:sz w:val="24"/>
          <w:szCs w:val="24"/>
          <w:lang w:val="fr-FR"/>
        </w:rPr>
        <w:t xml:space="preserve"> </w:t>
      </w:r>
      <w:r w:rsidRPr="005C082A">
        <w:rPr>
          <w:rFonts w:ascii="GHEA Grapalat" w:hAnsi="GHEA Grapalat"/>
          <w:sz w:val="24"/>
          <w:szCs w:val="24"/>
          <w:lang w:val="hy-AM"/>
        </w:rPr>
        <w:t>սահման</w:t>
      </w:r>
      <w:r w:rsidRPr="005C082A">
        <w:rPr>
          <w:rFonts w:ascii="GHEA Grapalat" w:hAnsi="GHEA Grapalat"/>
          <w:sz w:val="24"/>
          <w:szCs w:val="24"/>
          <w:lang w:val="fr-FR"/>
        </w:rPr>
        <w:t xml:space="preserve"> </w:t>
      </w:r>
      <w:r w:rsidRPr="005C082A">
        <w:rPr>
          <w:rFonts w:ascii="GHEA Grapalat" w:hAnsi="GHEA Grapalat"/>
          <w:sz w:val="24"/>
          <w:szCs w:val="24"/>
          <w:lang w:val="hy-AM"/>
        </w:rPr>
        <w:t>միջպետական</w:t>
      </w:r>
      <w:r w:rsidRPr="005C082A">
        <w:rPr>
          <w:rFonts w:ascii="GHEA Grapalat" w:hAnsi="GHEA Grapalat"/>
          <w:sz w:val="24"/>
          <w:szCs w:val="24"/>
          <w:lang w:val="fr-FR"/>
        </w:rPr>
        <w:t xml:space="preserve"> </w:t>
      </w:r>
      <w:r w:rsidRPr="005C082A">
        <w:rPr>
          <w:rFonts w:ascii="GHEA Grapalat" w:hAnsi="GHEA Grapalat"/>
          <w:sz w:val="24"/>
          <w:szCs w:val="24"/>
          <w:lang w:val="hy-AM"/>
        </w:rPr>
        <w:t>նշանակության</w:t>
      </w:r>
      <w:r w:rsidRPr="005C082A">
        <w:rPr>
          <w:rFonts w:ascii="GHEA Grapalat" w:hAnsi="GHEA Grapalat"/>
          <w:sz w:val="24"/>
          <w:szCs w:val="24"/>
          <w:lang w:val="fr-FR"/>
        </w:rPr>
        <w:t xml:space="preserve"> </w:t>
      </w:r>
      <w:r w:rsidRPr="005C082A">
        <w:rPr>
          <w:rFonts w:ascii="GHEA Grapalat" w:hAnsi="GHEA Grapalat"/>
          <w:sz w:val="24"/>
          <w:szCs w:val="24"/>
          <w:lang w:val="hy-AM"/>
        </w:rPr>
        <w:t>ճանապարհի</w:t>
      </w:r>
      <w:r w:rsidRPr="005C082A">
        <w:rPr>
          <w:rFonts w:ascii="GHEA Grapalat" w:hAnsi="GHEA Grapalat"/>
          <w:sz w:val="24"/>
          <w:szCs w:val="24"/>
          <w:lang w:val="fr-FR"/>
        </w:rPr>
        <w:t xml:space="preserve"> </w:t>
      </w:r>
      <w:r w:rsidRPr="005C082A">
        <w:rPr>
          <w:rFonts w:ascii="GHEA Grapalat" w:hAnsi="GHEA Grapalat"/>
          <w:sz w:val="24"/>
          <w:szCs w:val="24"/>
          <w:lang w:val="hy-AM"/>
        </w:rPr>
        <w:t>վերականգնման և բարելավման</w:t>
      </w:r>
      <w:r w:rsidRPr="005C082A">
        <w:rPr>
          <w:rFonts w:ascii="GHEA Grapalat" w:hAnsi="GHEA Grapalat"/>
          <w:sz w:val="24"/>
          <w:szCs w:val="24"/>
          <w:lang w:val="fr-FR"/>
        </w:rPr>
        <w:t xml:space="preserve"> </w:t>
      </w:r>
      <w:r w:rsidR="00BF3E1C" w:rsidRPr="005C082A">
        <w:rPr>
          <w:rFonts w:ascii="GHEA Grapalat" w:hAnsi="GHEA Grapalat"/>
          <w:sz w:val="24"/>
          <w:szCs w:val="24"/>
          <w:lang w:val="hy-AM"/>
        </w:rPr>
        <w:t xml:space="preserve">ծրագրի շրջանակում կատարված </w:t>
      </w:r>
      <w:r w:rsidR="00BF3E1C" w:rsidRPr="005C082A">
        <w:rPr>
          <w:rFonts w:ascii="GHEA Grapalat" w:hAnsi="GHEA Grapalat"/>
          <w:b/>
          <w:i/>
          <w:sz w:val="24"/>
          <w:szCs w:val="24"/>
          <w:u w:val="single"/>
          <w:lang w:val="fr-FR"/>
        </w:rPr>
        <w:t xml:space="preserve">19,356,173.9 </w:t>
      </w:r>
      <w:r w:rsidR="00BF3E1C" w:rsidRPr="005C082A">
        <w:rPr>
          <w:rFonts w:ascii="GHEA Grapalat" w:hAnsi="GHEA Grapalat"/>
          <w:b/>
          <w:i/>
          <w:sz w:val="24"/>
          <w:szCs w:val="24"/>
          <w:u w:val="single"/>
          <w:lang w:val="hy-AM"/>
        </w:rPr>
        <w:t>հազ</w:t>
      </w:r>
      <w:r w:rsidR="00BF3E1C" w:rsidRPr="005C082A">
        <w:rPr>
          <w:rFonts w:ascii="GHEA Grapalat" w:hAnsi="GHEA Grapalat"/>
          <w:b/>
          <w:i/>
          <w:sz w:val="24"/>
          <w:szCs w:val="24"/>
          <w:u w:val="single"/>
          <w:lang w:val="fr-FR"/>
        </w:rPr>
        <w:t xml:space="preserve">. </w:t>
      </w:r>
      <w:proofErr w:type="gramStart"/>
      <w:r w:rsidR="00BF3E1C" w:rsidRPr="005C082A">
        <w:rPr>
          <w:rFonts w:ascii="GHEA Grapalat" w:hAnsi="GHEA Grapalat"/>
          <w:b/>
          <w:i/>
          <w:sz w:val="24"/>
          <w:szCs w:val="24"/>
          <w:u w:val="single"/>
          <w:lang w:val="fr-FR"/>
        </w:rPr>
        <w:t>դրամի</w:t>
      </w:r>
      <w:proofErr w:type="gramEnd"/>
      <w:r w:rsidR="00BF3E1C" w:rsidRPr="005C082A">
        <w:rPr>
          <w:rFonts w:ascii="GHEA Grapalat" w:hAnsi="GHEA Grapalat"/>
          <w:sz w:val="24"/>
          <w:szCs w:val="24"/>
          <w:lang w:val="fr-FR"/>
        </w:rPr>
        <w:t xml:space="preserve"> </w:t>
      </w:r>
      <w:r w:rsidR="004C0D3E" w:rsidRPr="00650A93">
        <w:rPr>
          <w:rFonts w:ascii="GHEA Grapalat" w:hAnsi="GHEA Grapalat"/>
          <w:sz w:val="24"/>
          <w:szCs w:val="24"/>
          <w:lang w:val="fr-FR"/>
        </w:rPr>
        <w:t>կ</w:t>
      </w:r>
      <w:r w:rsidR="004C0D3E" w:rsidRPr="00650A93">
        <w:rPr>
          <w:rFonts w:ascii="GHEA Grapalat" w:hAnsi="GHEA Grapalat"/>
          <w:sz w:val="24"/>
          <w:szCs w:val="24"/>
          <w:lang w:val="hy-AM"/>
        </w:rPr>
        <w:t xml:space="preserve">ապիտալ ծախսումները </w:t>
      </w:r>
      <w:r w:rsidR="004C0D3E" w:rsidRPr="00650A93">
        <w:rPr>
          <w:rFonts w:ascii="GHEA Grapalat" w:hAnsi="GHEA Grapalat"/>
          <w:sz w:val="24"/>
          <w:szCs w:val="24"/>
          <w:lang w:val="fr-FR"/>
        </w:rPr>
        <w:t xml:space="preserve">չեն ավելացվել ասֆալտբետոնյա ճանապարհների </w:t>
      </w:r>
      <w:r w:rsidR="004C0D3E" w:rsidRPr="00650A93">
        <w:rPr>
          <w:rFonts w:ascii="GHEA Grapalat" w:hAnsi="GHEA Grapalat"/>
          <w:sz w:val="24"/>
          <w:szCs w:val="24"/>
          <w:lang w:val="hy-AM"/>
        </w:rPr>
        <w:t>հաշվեկշռային</w:t>
      </w:r>
      <w:r w:rsidR="004C0D3E" w:rsidRPr="00650A93">
        <w:rPr>
          <w:rFonts w:ascii="GHEA Grapalat" w:hAnsi="GHEA Grapalat"/>
          <w:sz w:val="24"/>
          <w:szCs w:val="24"/>
          <w:lang w:val="fr-FR"/>
        </w:rPr>
        <w:t xml:space="preserve"> </w:t>
      </w:r>
      <w:r w:rsidR="004C0D3E" w:rsidRPr="00650A93">
        <w:rPr>
          <w:rFonts w:ascii="GHEA Grapalat" w:hAnsi="GHEA Grapalat"/>
          <w:sz w:val="24"/>
          <w:szCs w:val="24"/>
          <w:lang w:val="hy-AM"/>
        </w:rPr>
        <w:t>արժեքին՝ չապահովելով Հ</w:t>
      </w:r>
      <w:r w:rsidR="004C0D3E" w:rsidRPr="00650A93">
        <w:rPr>
          <w:rFonts w:ascii="GHEA Grapalat" w:hAnsi="GHEA Grapalat"/>
          <w:sz w:val="24"/>
          <w:szCs w:val="24"/>
          <w:lang w:val="fr-FR"/>
        </w:rPr>
        <w:t>Հ ֆինանսների նախարարի 2014 թվականի հոկտեմբերի 24-ի թիվ 725-Ն հրամանով հաստատված «ՀՀ հանրային հատվածի հաշապահական հաշվառման ստանդարտի» պահանջի կատարումը</w:t>
      </w:r>
      <w:r w:rsidRPr="003810E9">
        <w:rPr>
          <w:rFonts w:ascii="GHEA Grapalat" w:hAnsi="GHEA Grapalat"/>
          <w:sz w:val="24"/>
          <w:szCs w:val="24"/>
          <w:lang w:val="fr-FR"/>
        </w:rPr>
        <w:t>:</w:t>
      </w:r>
    </w:p>
    <w:p w14:paraId="269845FD" w14:textId="42CB3D06" w:rsidR="00BF3E1C" w:rsidRPr="003810E9" w:rsidRDefault="00BF3E1C" w:rsidP="00152611">
      <w:pPr>
        <w:pStyle w:val="ListParagraph"/>
        <w:numPr>
          <w:ilvl w:val="0"/>
          <w:numId w:val="33"/>
        </w:numPr>
        <w:spacing w:after="0" w:line="276" w:lineRule="auto"/>
        <w:ind w:left="0" w:firstLine="360"/>
        <w:jc w:val="both"/>
        <w:rPr>
          <w:rFonts w:ascii="GHEA Grapalat" w:hAnsi="GHEA Grapalat"/>
          <w:sz w:val="24"/>
          <w:szCs w:val="24"/>
          <w:lang w:val="fr-FR"/>
        </w:rPr>
      </w:pPr>
      <w:r w:rsidRPr="005C082A">
        <w:rPr>
          <w:rFonts w:ascii="GHEA Grapalat" w:hAnsi="GHEA Grapalat"/>
          <w:sz w:val="24"/>
          <w:szCs w:val="24"/>
          <w:lang w:val="hy-AM"/>
        </w:rPr>
        <w:t xml:space="preserve"> </w:t>
      </w:r>
      <w:r w:rsidRPr="005C082A">
        <w:rPr>
          <w:rFonts w:ascii="GHEA Grapalat" w:hAnsi="GHEA Grapalat"/>
          <w:color w:val="000000" w:themeColor="text1"/>
          <w:sz w:val="24"/>
          <w:szCs w:val="24"/>
          <w:lang w:val="hy-AM"/>
        </w:rPr>
        <w:t>Եվրոպական ներդրումային բանկի աջակցությամբ</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իրականացվող</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Մ</w:t>
      </w:r>
      <w:r w:rsidRPr="005C082A">
        <w:rPr>
          <w:rFonts w:ascii="GHEA Grapalat" w:hAnsi="GHEA Grapalat"/>
          <w:color w:val="000000" w:themeColor="text1"/>
          <w:sz w:val="24"/>
          <w:szCs w:val="24"/>
          <w:lang w:val="fr-FR"/>
        </w:rPr>
        <w:t xml:space="preserve">6 </w:t>
      </w:r>
      <w:r w:rsidRPr="005C082A">
        <w:rPr>
          <w:rFonts w:ascii="GHEA Grapalat" w:hAnsi="GHEA Grapalat"/>
          <w:color w:val="000000" w:themeColor="text1"/>
          <w:sz w:val="24"/>
          <w:szCs w:val="24"/>
          <w:lang w:val="hy-AM"/>
        </w:rPr>
        <w:t>Վանաձոր</w:t>
      </w:r>
      <w:r w:rsidRPr="005C082A">
        <w:rPr>
          <w:rFonts w:ascii="GHEA Grapalat" w:hAnsi="GHEA Grapalat"/>
          <w:color w:val="000000" w:themeColor="text1"/>
          <w:sz w:val="24"/>
          <w:szCs w:val="24"/>
          <w:lang w:val="fr-FR"/>
        </w:rPr>
        <w:t>-</w:t>
      </w:r>
      <w:r w:rsidRPr="005C082A">
        <w:rPr>
          <w:rFonts w:ascii="GHEA Grapalat" w:hAnsi="GHEA Grapalat"/>
          <w:color w:val="000000" w:themeColor="text1"/>
          <w:sz w:val="24"/>
          <w:szCs w:val="24"/>
          <w:lang w:val="hy-AM"/>
        </w:rPr>
        <w:t>Ալավերդի</w:t>
      </w:r>
      <w:r w:rsidRPr="005C082A">
        <w:rPr>
          <w:rFonts w:ascii="GHEA Grapalat" w:hAnsi="GHEA Grapalat"/>
          <w:color w:val="000000" w:themeColor="text1"/>
          <w:sz w:val="24"/>
          <w:szCs w:val="24"/>
          <w:lang w:val="fr-FR"/>
        </w:rPr>
        <w:t>-</w:t>
      </w:r>
      <w:r w:rsidRPr="005C082A">
        <w:rPr>
          <w:rFonts w:ascii="GHEA Grapalat" w:hAnsi="GHEA Grapalat"/>
          <w:color w:val="000000" w:themeColor="text1"/>
          <w:sz w:val="24"/>
          <w:szCs w:val="24"/>
          <w:lang w:val="hy-AM"/>
        </w:rPr>
        <w:t>Վրաստանի</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սահման</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միջպետական</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նշանակության</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ճանապարհի</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վերականգնման և բարելավման</w:t>
      </w:r>
      <w:r w:rsidRPr="005C082A">
        <w:rPr>
          <w:rFonts w:ascii="GHEA Grapalat" w:hAnsi="GHEA Grapalat"/>
          <w:color w:val="000000" w:themeColor="text1"/>
          <w:sz w:val="24"/>
          <w:szCs w:val="24"/>
          <w:lang w:val="fr-FR"/>
        </w:rPr>
        <w:t xml:space="preserve"> </w:t>
      </w:r>
      <w:r w:rsidRPr="005C082A">
        <w:rPr>
          <w:rFonts w:ascii="GHEA Grapalat" w:hAnsi="GHEA Grapalat"/>
          <w:color w:val="000000" w:themeColor="text1"/>
          <w:sz w:val="24"/>
          <w:szCs w:val="24"/>
          <w:lang w:val="hy-AM"/>
        </w:rPr>
        <w:t>ծրագրի</w:t>
      </w:r>
      <w:r w:rsidRPr="005C082A">
        <w:rPr>
          <w:rFonts w:ascii="GHEA Grapalat" w:hAnsi="GHEA Grapalat"/>
          <w:color w:val="000000" w:themeColor="text1"/>
          <w:sz w:val="24"/>
          <w:szCs w:val="24"/>
          <w:lang w:val="fr-FR"/>
        </w:rPr>
        <w:t xml:space="preserve"> և </w:t>
      </w:r>
      <w:r w:rsidRPr="005C082A">
        <w:rPr>
          <w:rFonts w:ascii="GHEA Grapalat" w:hAnsi="GHEA Grapalat" w:cs="Calibri"/>
          <w:color w:val="000000"/>
          <w:sz w:val="24"/>
          <w:szCs w:val="24"/>
          <w:lang w:val="hy-AM"/>
        </w:rPr>
        <w:t xml:space="preserve">Կենսական նշանակության ճանապարհացանցի բարելավման լրացուցիչ ծրագրի շրջանակներում </w:t>
      </w:r>
      <w:r w:rsidRPr="005C082A">
        <w:rPr>
          <w:rFonts w:ascii="GHEA Grapalat" w:hAnsi="GHEA Grapalat"/>
          <w:b/>
          <w:i/>
          <w:sz w:val="24"/>
          <w:szCs w:val="24"/>
          <w:u w:val="single"/>
          <w:lang w:val="hy-AM"/>
        </w:rPr>
        <w:t>6,171,153.56 հազ. դրամի</w:t>
      </w:r>
      <w:r w:rsidRPr="005C082A">
        <w:rPr>
          <w:rFonts w:ascii="GHEA Grapalat" w:hAnsi="GHEA Grapalat"/>
          <w:sz w:val="24"/>
          <w:szCs w:val="24"/>
          <w:lang w:val="hy-AM"/>
        </w:rPr>
        <w:t xml:space="preserve"> 1187299քմ ասֆալտբետոնյա ծածկույթի </w:t>
      </w:r>
      <w:r w:rsidR="008F731F" w:rsidRPr="00650A93">
        <w:rPr>
          <w:rFonts w:ascii="GHEA Grapalat" w:hAnsi="GHEA Grapalat"/>
          <w:sz w:val="24"/>
          <w:szCs w:val="24"/>
          <w:lang w:val="hy-AM" w:eastAsia="hy-AM" w:bidi="hy-AM"/>
        </w:rPr>
        <w:t xml:space="preserve">վերին շերտի աշխատանքներն ընդունվել և վճարվել են առանց </w:t>
      </w:r>
      <w:r w:rsidR="008F731F" w:rsidRPr="00650A93">
        <w:rPr>
          <w:rFonts w:ascii="GHEA Grapalat" w:hAnsi="GHEA Grapalat"/>
          <w:color w:val="000000" w:themeColor="text1"/>
          <w:sz w:val="24"/>
          <w:szCs w:val="24"/>
          <w:lang w:val="hy-AM" w:eastAsia="hy-AM" w:bidi="hy-AM"/>
        </w:rPr>
        <w:t>ավտոմոբիլի անիվի կառչումը ծածկից կամ ծածկի անողորկությունը (խորդուբորդու</w:t>
      </w:r>
      <w:r w:rsidR="008F731F" w:rsidRPr="00650A93">
        <w:rPr>
          <w:rFonts w:ascii="GHEA Grapalat" w:hAnsi="GHEA Grapalat"/>
          <w:color w:val="000000" w:themeColor="text1"/>
          <w:sz w:val="24"/>
          <w:szCs w:val="24"/>
          <w:lang w:val="hy-AM" w:eastAsia="hy-AM" w:bidi="hy-AM"/>
        </w:rPr>
        <w:softHyphen/>
        <w:t xml:space="preserve">թյունը) ստուգելու, որը  </w:t>
      </w:r>
      <w:r w:rsidR="008F731F" w:rsidRPr="00650A93">
        <w:rPr>
          <w:rFonts w:ascii="GHEA Grapalat" w:hAnsi="GHEA Grapalat"/>
          <w:sz w:val="24"/>
          <w:szCs w:val="24"/>
          <w:lang w:val="hy-AM" w:eastAsia="hy-AM" w:bidi="hy-AM"/>
        </w:rPr>
        <w:t>այդ աշխատանքներն ընդունելու համար ՀՀՇՆ IV-11.05.02-99-ով սահմանված պահանջ է</w:t>
      </w:r>
      <w:r w:rsidRPr="003810E9">
        <w:rPr>
          <w:rFonts w:ascii="GHEA Grapalat" w:hAnsi="GHEA Grapalat"/>
          <w:color w:val="000000" w:themeColor="text1"/>
          <w:sz w:val="24"/>
          <w:szCs w:val="24"/>
          <w:lang w:val="hy-AM" w:eastAsia="hy-AM" w:bidi="hy-AM"/>
        </w:rPr>
        <w:t>։</w:t>
      </w:r>
    </w:p>
    <w:p w14:paraId="4522B33E" w14:textId="5831DF34" w:rsidR="00BF3E1C" w:rsidRPr="005C082A" w:rsidRDefault="00F33EB0" w:rsidP="000D41BE">
      <w:pPr>
        <w:spacing w:after="0"/>
        <w:ind w:firstLine="567"/>
        <w:contextualSpacing/>
        <w:rPr>
          <w:b/>
          <w:szCs w:val="24"/>
          <w:lang w:val="hy-AM"/>
        </w:rPr>
      </w:pPr>
      <w:r w:rsidRPr="005C082A">
        <w:rPr>
          <w:b/>
          <w:szCs w:val="24"/>
          <w:lang w:val="hy-AM"/>
        </w:rPr>
        <w:t>Եվրոպական ներդրումային բանկի աջակցությամբ</w:t>
      </w:r>
      <w:r w:rsidRPr="005C082A">
        <w:rPr>
          <w:b/>
          <w:szCs w:val="24"/>
          <w:lang w:val="fr-FR"/>
        </w:rPr>
        <w:t xml:space="preserve"> </w:t>
      </w:r>
      <w:r w:rsidRPr="005C082A">
        <w:rPr>
          <w:b/>
          <w:szCs w:val="24"/>
          <w:lang w:val="hy-AM"/>
        </w:rPr>
        <w:t>իրականացվող</w:t>
      </w:r>
      <w:r w:rsidRPr="005C082A">
        <w:rPr>
          <w:b/>
          <w:szCs w:val="24"/>
          <w:lang w:val="fr-FR"/>
        </w:rPr>
        <w:t xml:space="preserve"> </w:t>
      </w:r>
      <w:r w:rsidRPr="005C082A">
        <w:rPr>
          <w:b/>
          <w:szCs w:val="24"/>
          <w:lang w:val="hy-AM"/>
        </w:rPr>
        <w:t>Մ</w:t>
      </w:r>
      <w:r w:rsidRPr="005C082A">
        <w:rPr>
          <w:b/>
          <w:szCs w:val="24"/>
          <w:lang w:val="fr-FR"/>
        </w:rPr>
        <w:t xml:space="preserve">6 </w:t>
      </w:r>
      <w:r w:rsidRPr="005C082A">
        <w:rPr>
          <w:b/>
          <w:szCs w:val="24"/>
          <w:lang w:val="hy-AM"/>
        </w:rPr>
        <w:t>Վանաձոր</w:t>
      </w:r>
      <w:r w:rsidRPr="005C082A">
        <w:rPr>
          <w:b/>
          <w:szCs w:val="24"/>
          <w:lang w:val="fr-FR"/>
        </w:rPr>
        <w:t>-</w:t>
      </w:r>
      <w:r w:rsidRPr="005C082A">
        <w:rPr>
          <w:b/>
          <w:szCs w:val="24"/>
          <w:lang w:val="hy-AM"/>
        </w:rPr>
        <w:t>Ալավերդի</w:t>
      </w:r>
      <w:r w:rsidRPr="005C082A">
        <w:rPr>
          <w:b/>
          <w:szCs w:val="24"/>
          <w:lang w:val="fr-FR"/>
        </w:rPr>
        <w:t>-</w:t>
      </w:r>
      <w:r w:rsidRPr="005C082A">
        <w:rPr>
          <w:b/>
          <w:szCs w:val="24"/>
          <w:lang w:val="hy-AM"/>
        </w:rPr>
        <w:t>Վրաստանի</w:t>
      </w:r>
      <w:r w:rsidRPr="005C082A">
        <w:rPr>
          <w:b/>
          <w:szCs w:val="24"/>
          <w:lang w:val="fr-FR"/>
        </w:rPr>
        <w:t xml:space="preserve"> </w:t>
      </w:r>
      <w:r w:rsidRPr="005C082A">
        <w:rPr>
          <w:b/>
          <w:szCs w:val="24"/>
          <w:lang w:val="hy-AM"/>
        </w:rPr>
        <w:t>սահման</w:t>
      </w:r>
      <w:r w:rsidRPr="005C082A">
        <w:rPr>
          <w:b/>
          <w:szCs w:val="24"/>
          <w:lang w:val="fr-FR"/>
        </w:rPr>
        <w:t xml:space="preserve"> </w:t>
      </w:r>
      <w:r w:rsidRPr="005C082A">
        <w:rPr>
          <w:b/>
          <w:szCs w:val="24"/>
          <w:lang w:val="hy-AM"/>
        </w:rPr>
        <w:t>միջպետական</w:t>
      </w:r>
      <w:r w:rsidRPr="005C082A">
        <w:rPr>
          <w:b/>
          <w:szCs w:val="24"/>
          <w:lang w:val="fr-FR"/>
        </w:rPr>
        <w:t xml:space="preserve"> </w:t>
      </w:r>
      <w:r w:rsidRPr="005C082A">
        <w:rPr>
          <w:b/>
          <w:szCs w:val="24"/>
          <w:lang w:val="hy-AM"/>
        </w:rPr>
        <w:t>նշանակության</w:t>
      </w:r>
      <w:r w:rsidRPr="005C082A">
        <w:rPr>
          <w:b/>
          <w:szCs w:val="24"/>
          <w:lang w:val="fr-FR"/>
        </w:rPr>
        <w:t xml:space="preserve"> </w:t>
      </w:r>
      <w:r w:rsidRPr="005C082A">
        <w:rPr>
          <w:b/>
          <w:szCs w:val="24"/>
          <w:lang w:val="hy-AM"/>
        </w:rPr>
        <w:t>ճանապարհի</w:t>
      </w:r>
      <w:r w:rsidRPr="005C082A">
        <w:rPr>
          <w:b/>
          <w:szCs w:val="24"/>
          <w:lang w:val="fr-FR"/>
        </w:rPr>
        <w:t xml:space="preserve"> </w:t>
      </w:r>
      <w:r w:rsidRPr="005C082A">
        <w:rPr>
          <w:b/>
          <w:szCs w:val="24"/>
          <w:lang w:val="hy-AM"/>
        </w:rPr>
        <w:t>վերականգնման և բարելավման</w:t>
      </w:r>
      <w:r w:rsidRPr="005C082A">
        <w:rPr>
          <w:b/>
          <w:szCs w:val="24"/>
          <w:lang w:val="fr-FR"/>
        </w:rPr>
        <w:t xml:space="preserve"> </w:t>
      </w:r>
      <w:r w:rsidRPr="005C082A">
        <w:rPr>
          <w:b/>
          <w:szCs w:val="24"/>
          <w:lang w:val="hy-AM"/>
        </w:rPr>
        <w:t>ծրագրի շրջանակում</w:t>
      </w:r>
    </w:p>
    <w:p w14:paraId="67444AC1" w14:textId="7A0897E8" w:rsidR="00152611" w:rsidRPr="005C082A" w:rsidRDefault="00563FC9" w:rsidP="00563FC9">
      <w:pPr>
        <w:pStyle w:val="ListParagraph"/>
        <w:numPr>
          <w:ilvl w:val="0"/>
          <w:numId w:val="33"/>
        </w:numPr>
        <w:spacing w:line="276" w:lineRule="auto"/>
        <w:ind w:left="0" w:firstLine="567"/>
        <w:jc w:val="both"/>
        <w:rPr>
          <w:rFonts w:ascii="GHEA Grapalat" w:eastAsia="Times New Roman" w:hAnsi="GHEA Grapalat"/>
          <w:sz w:val="24"/>
          <w:szCs w:val="24"/>
          <w:lang w:val="hy-AM"/>
        </w:rPr>
      </w:pPr>
      <w:r w:rsidRPr="005C082A">
        <w:rPr>
          <w:rFonts w:ascii="GHEA Grapalat" w:eastAsia="Times New Roman" w:hAnsi="GHEA Grapalat"/>
          <w:sz w:val="24"/>
          <w:szCs w:val="24"/>
          <w:lang w:val="hy-AM"/>
        </w:rPr>
        <w:lastRenderedPageBreak/>
        <w:t xml:space="preserve"> </w:t>
      </w:r>
      <w:r w:rsidR="00F33EB0" w:rsidRPr="005C082A">
        <w:rPr>
          <w:rFonts w:ascii="GHEA Grapalat" w:eastAsia="Times New Roman" w:hAnsi="GHEA Grapalat"/>
          <w:sz w:val="24"/>
          <w:szCs w:val="24"/>
          <w:lang w:val="hy-AM"/>
        </w:rPr>
        <w:t>Փոփոխության հրահանգներով</w:t>
      </w:r>
      <w:r w:rsidR="008F731F" w:rsidRPr="003810E9">
        <w:rPr>
          <w:rStyle w:val="FootnoteReference"/>
          <w:rFonts w:ascii="GHEA Grapalat" w:eastAsia="Times New Roman" w:hAnsi="GHEA Grapalat"/>
          <w:sz w:val="24"/>
          <w:szCs w:val="24"/>
          <w:lang w:val="hy-AM"/>
        </w:rPr>
        <w:footnoteReference w:id="2"/>
      </w:r>
      <w:r w:rsidR="00F33EB0" w:rsidRPr="003810E9">
        <w:rPr>
          <w:rFonts w:ascii="GHEA Grapalat" w:eastAsia="Times New Roman" w:hAnsi="GHEA Grapalat"/>
          <w:sz w:val="24"/>
          <w:szCs w:val="24"/>
          <w:lang w:val="hy-AM"/>
        </w:rPr>
        <w:t xml:space="preserve"> </w:t>
      </w:r>
      <w:r w:rsidR="00F33EB0" w:rsidRPr="003810E9">
        <w:rPr>
          <w:rFonts w:ascii="GHEA Grapalat" w:eastAsia="Times New Roman" w:hAnsi="GHEA Grapalat"/>
          <w:b/>
          <w:i/>
          <w:sz w:val="24"/>
          <w:szCs w:val="24"/>
          <w:u w:val="single"/>
          <w:lang w:val="hy-AM"/>
        </w:rPr>
        <w:t>4,427,124.50 հազ. դրամի</w:t>
      </w:r>
      <w:r w:rsidR="00F33EB0" w:rsidRPr="003810E9">
        <w:rPr>
          <w:rFonts w:ascii="GHEA Grapalat" w:eastAsia="Times New Roman" w:hAnsi="GHEA Grapalat"/>
          <w:sz w:val="24"/>
          <w:szCs w:val="24"/>
          <w:lang w:val="hy-AM"/>
        </w:rPr>
        <w:t xml:space="preserve"> 22 անվանում աշխատանքների քանակները փոփոխվել են ավելի քան 25%-ով և դրա արդյունքում պայմանագրային գինը փոփոխվել է ավելի քան 1%-ով, սակայն </w:t>
      </w:r>
      <w:r w:rsidR="004D4BB9" w:rsidRPr="005C082A">
        <w:rPr>
          <w:rFonts w:ascii="GHEA Grapalat" w:eastAsia="Times New Roman" w:hAnsi="GHEA Grapalat"/>
          <w:sz w:val="24"/>
          <w:szCs w:val="24"/>
          <w:lang w:val="hy-AM"/>
        </w:rPr>
        <w:t>Ծրագրի ղեկավարի</w:t>
      </w:r>
      <w:r w:rsidR="004D4BB9" w:rsidRPr="003810E9">
        <w:rPr>
          <w:rStyle w:val="FootnoteReference"/>
          <w:rFonts w:ascii="GHEA Grapalat" w:eastAsia="Times New Roman" w:hAnsi="GHEA Grapalat"/>
          <w:sz w:val="24"/>
          <w:szCs w:val="24"/>
          <w:lang w:val="en-GB"/>
        </w:rPr>
        <w:footnoteReference w:id="3"/>
      </w:r>
      <w:r w:rsidR="004D4BB9" w:rsidRPr="003810E9">
        <w:rPr>
          <w:rFonts w:ascii="GHEA Grapalat" w:eastAsia="Times New Roman" w:hAnsi="GHEA Grapalat"/>
          <w:sz w:val="24"/>
          <w:szCs w:val="24"/>
          <w:lang w:val="hy-AM"/>
        </w:rPr>
        <w:t xml:space="preserve"> </w:t>
      </w:r>
      <w:r w:rsidR="00F33EB0" w:rsidRPr="005C082A">
        <w:rPr>
          <w:rFonts w:ascii="GHEA Grapalat" w:eastAsia="Times New Roman" w:hAnsi="GHEA Grapalat"/>
          <w:sz w:val="24"/>
          <w:szCs w:val="24"/>
          <w:lang w:val="hy-AM"/>
        </w:rPr>
        <w:t>կողմից գնի վերանայում չի կատարվել և նոր գին չի կիրառվել</w:t>
      </w:r>
      <w:r w:rsidR="000B1A7E" w:rsidRPr="005C082A">
        <w:rPr>
          <w:rFonts w:ascii="GHEA Grapalat" w:eastAsia="Times New Roman" w:hAnsi="GHEA Grapalat"/>
          <w:sz w:val="24"/>
          <w:szCs w:val="24"/>
          <w:lang w:val="hy-AM"/>
        </w:rPr>
        <w:t>,</w:t>
      </w:r>
      <w:r w:rsidR="00F33EB0" w:rsidRPr="005C082A">
        <w:rPr>
          <w:rFonts w:ascii="GHEA Grapalat" w:eastAsia="Times New Roman" w:hAnsi="GHEA Grapalat"/>
          <w:sz w:val="24"/>
          <w:szCs w:val="24"/>
          <w:lang w:val="hy-AM"/>
        </w:rPr>
        <w:t xml:space="preserve"> այնինչ</w:t>
      </w:r>
      <w:r w:rsidR="000B1A7E" w:rsidRPr="005C082A">
        <w:rPr>
          <w:rFonts w:ascii="GHEA Grapalat" w:eastAsia="Times New Roman" w:hAnsi="GHEA Grapalat"/>
          <w:sz w:val="24"/>
          <w:szCs w:val="24"/>
          <w:lang w:val="hy-AM"/>
        </w:rPr>
        <w:t>՝</w:t>
      </w:r>
      <w:r w:rsidR="00F33EB0" w:rsidRPr="005C082A">
        <w:rPr>
          <w:rFonts w:ascii="GHEA Grapalat" w:eastAsia="Times New Roman" w:hAnsi="GHEA Grapalat"/>
          <w:sz w:val="24"/>
          <w:szCs w:val="24"/>
          <w:lang w:val="hy-AM"/>
        </w:rPr>
        <w:t xml:space="preserve"> համաձայն պայմանագրերի </w:t>
      </w:r>
      <w:r w:rsidR="004A534C" w:rsidRPr="005C082A">
        <w:rPr>
          <w:rFonts w:ascii="GHEA Grapalat" w:eastAsia="Times New Roman" w:hAnsi="GHEA Grapalat"/>
          <w:sz w:val="24"/>
          <w:szCs w:val="24"/>
          <w:lang w:val="hy-AM"/>
        </w:rPr>
        <w:t xml:space="preserve">Ծրագրի ղեկավարը </w:t>
      </w:r>
      <w:r w:rsidR="00F33EB0" w:rsidRPr="005C082A">
        <w:rPr>
          <w:rFonts w:ascii="GHEA Grapalat" w:eastAsia="Times New Roman" w:hAnsi="GHEA Grapalat"/>
          <w:b/>
          <w:i/>
          <w:sz w:val="24"/>
          <w:szCs w:val="24"/>
          <w:u w:val="single"/>
          <w:lang w:val="hy-AM"/>
        </w:rPr>
        <w:t>պետք է</w:t>
      </w:r>
      <w:r w:rsidR="00F33EB0" w:rsidRPr="005C082A">
        <w:rPr>
          <w:rFonts w:ascii="GHEA Grapalat" w:eastAsia="Times New Roman" w:hAnsi="GHEA Grapalat"/>
          <w:sz w:val="24"/>
          <w:szCs w:val="24"/>
          <w:lang w:val="hy-AM"/>
        </w:rPr>
        <w:t xml:space="preserve"> վերանայեր դրույքաչափը կամ գինը։ </w:t>
      </w:r>
      <w:r w:rsidR="00F33EB0" w:rsidRPr="005C082A">
        <w:rPr>
          <w:rFonts w:ascii="GHEA Grapalat" w:hAnsi="GHEA Grapalat"/>
          <w:sz w:val="24"/>
          <w:szCs w:val="24"/>
          <w:lang w:val="hy-AM"/>
        </w:rPr>
        <w:t xml:space="preserve">Օրինակ, առանց գնի վերանայման, պայմանագրային գներով նվազեցվել են 29126քմ  </w:t>
      </w:r>
      <w:r w:rsidR="00F33EB0" w:rsidRPr="005C082A">
        <w:rPr>
          <w:rFonts w:ascii="GHEA Grapalat" w:eastAsia="Times New Roman" w:hAnsi="GHEA Grapalat"/>
          <w:sz w:val="24"/>
          <w:szCs w:val="24"/>
          <w:lang w:val="hy-AM"/>
        </w:rPr>
        <w:t>մետաղական ցանցերի համակարգով քարաթափոցներից պաշտպանության աշխատանքներ</w:t>
      </w:r>
      <w:r w:rsidR="000B1A7E" w:rsidRPr="005C082A">
        <w:rPr>
          <w:rFonts w:ascii="GHEA Grapalat" w:eastAsia="Times New Roman" w:hAnsi="GHEA Grapalat"/>
          <w:sz w:val="24"/>
          <w:szCs w:val="24"/>
          <w:lang w:val="hy-AM"/>
        </w:rPr>
        <w:t>՝</w:t>
      </w:r>
      <w:r w:rsidR="00F33EB0" w:rsidRPr="005C082A">
        <w:rPr>
          <w:rFonts w:ascii="GHEA Grapalat" w:eastAsia="Times New Roman" w:hAnsi="GHEA Grapalat"/>
          <w:sz w:val="24"/>
          <w:szCs w:val="24"/>
          <w:lang w:val="hy-AM"/>
        </w:rPr>
        <w:t xml:space="preserve"> ընդամենը </w:t>
      </w:r>
      <w:r w:rsidR="00F33EB0" w:rsidRPr="005C082A">
        <w:rPr>
          <w:rFonts w:ascii="GHEA Grapalat" w:eastAsia="Times New Roman" w:hAnsi="GHEA Grapalat"/>
          <w:b/>
          <w:i/>
          <w:sz w:val="24"/>
          <w:szCs w:val="24"/>
          <w:lang w:val="hy-AM"/>
        </w:rPr>
        <w:t>447,837.60 հազ. դրամով</w:t>
      </w:r>
      <w:r w:rsidR="00F33EB0" w:rsidRPr="005C082A">
        <w:rPr>
          <w:rFonts w:ascii="GHEA Grapalat" w:eastAsia="Times New Roman" w:hAnsi="GHEA Grapalat"/>
          <w:sz w:val="24"/>
          <w:szCs w:val="24"/>
          <w:lang w:val="hy-AM"/>
        </w:rPr>
        <w:t xml:space="preserve"> այն դեպքում, երբ այդ աշխատանքների նախահաշվային արժեքը կազմել է  </w:t>
      </w:r>
      <w:r w:rsidR="00F33EB0" w:rsidRPr="005C082A">
        <w:rPr>
          <w:rFonts w:ascii="GHEA Grapalat" w:eastAsia="Times New Roman" w:hAnsi="GHEA Grapalat"/>
          <w:b/>
          <w:i/>
          <w:sz w:val="24"/>
          <w:szCs w:val="24"/>
          <w:lang w:val="hy-AM"/>
        </w:rPr>
        <w:t>1,525,549.20 հազ. դրամ։</w:t>
      </w:r>
    </w:p>
    <w:p w14:paraId="38222F94" w14:textId="708B1BD1" w:rsidR="00152611" w:rsidRPr="005C082A" w:rsidRDefault="00563FC9" w:rsidP="00563FC9">
      <w:pPr>
        <w:pStyle w:val="ListParagraph"/>
        <w:numPr>
          <w:ilvl w:val="0"/>
          <w:numId w:val="33"/>
        </w:numPr>
        <w:spacing w:line="276" w:lineRule="auto"/>
        <w:ind w:left="0" w:firstLine="567"/>
        <w:jc w:val="both"/>
        <w:rPr>
          <w:rFonts w:ascii="GHEA Grapalat" w:eastAsia="Times New Roman" w:hAnsi="GHEA Grapalat"/>
          <w:sz w:val="24"/>
          <w:szCs w:val="24"/>
          <w:lang w:val="hy-AM"/>
        </w:rPr>
      </w:pPr>
      <w:r w:rsidRPr="005C082A">
        <w:rPr>
          <w:rFonts w:ascii="GHEA Grapalat" w:hAnsi="GHEA Grapalat"/>
          <w:sz w:val="24"/>
          <w:szCs w:val="24"/>
          <w:lang w:val="hy-AM"/>
        </w:rPr>
        <w:t xml:space="preserve"> </w:t>
      </w:r>
      <w:r w:rsidR="007A722B" w:rsidRPr="005C082A">
        <w:rPr>
          <w:rFonts w:ascii="GHEA Grapalat" w:hAnsi="GHEA Grapalat"/>
          <w:sz w:val="24"/>
          <w:szCs w:val="24"/>
          <w:lang w:val="hy-AM"/>
        </w:rPr>
        <w:t xml:space="preserve">Համաձայն ՀՀՇՆ IV-11.05.02-99-ի (ավտոմոբիլային ճանապարհներ) 8.14 կետի պահանջի ճանապարհային պատվածքի ծակոտկեն (խոշորահատիկ) ասֆալտբետոնե շերտի բարձրությունը պետք է նշանակվի հաշվարկով, սակայն՝ ոչ պակաս </w:t>
      </w:r>
      <w:r w:rsidR="007A722B" w:rsidRPr="005C082A">
        <w:rPr>
          <w:rFonts w:ascii="GHEA Grapalat" w:hAnsi="GHEA Grapalat"/>
          <w:b/>
          <w:i/>
          <w:sz w:val="24"/>
          <w:szCs w:val="24"/>
          <w:u w:val="single"/>
          <w:lang w:val="hy-AM"/>
        </w:rPr>
        <w:t>6սմ-ից</w:t>
      </w:r>
      <w:r w:rsidR="007A722B" w:rsidRPr="005C082A">
        <w:rPr>
          <w:rFonts w:ascii="GHEA Grapalat" w:hAnsi="GHEA Grapalat"/>
          <w:sz w:val="24"/>
          <w:szCs w:val="24"/>
          <w:lang w:val="hy-AM"/>
        </w:rPr>
        <w:t xml:space="preserve">, մինչդեռ նախագծերով և պայմանագրերով նախատեսվել </w:t>
      </w:r>
      <w:r w:rsidR="001638ED" w:rsidRPr="005C082A">
        <w:rPr>
          <w:rFonts w:ascii="GHEA Grapalat" w:hAnsi="GHEA Grapalat"/>
          <w:sz w:val="24"/>
          <w:szCs w:val="24"/>
          <w:lang w:val="hy-AM"/>
        </w:rPr>
        <w:t xml:space="preserve">ու </w:t>
      </w:r>
      <w:r w:rsidR="007A722B" w:rsidRPr="005C082A">
        <w:rPr>
          <w:rFonts w:ascii="GHEA Grapalat" w:hAnsi="GHEA Grapalat"/>
          <w:sz w:val="24"/>
          <w:szCs w:val="24"/>
          <w:lang w:val="hy-AM"/>
        </w:rPr>
        <w:t>ամսական կատարողականներով հաշվարկվել և վճարվել են 24</w:t>
      </w:r>
      <w:r w:rsidR="008E2D79" w:rsidRPr="00650A93">
        <w:rPr>
          <w:rFonts w:ascii="GHEA Grapalat" w:hAnsi="GHEA Grapalat"/>
          <w:sz w:val="24"/>
          <w:szCs w:val="24"/>
          <w:lang w:val="hy-AM"/>
        </w:rPr>
        <w:t>2790</w:t>
      </w:r>
      <w:r w:rsidR="007A722B" w:rsidRPr="005C082A">
        <w:rPr>
          <w:rFonts w:ascii="GHEA Grapalat" w:hAnsi="GHEA Grapalat"/>
          <w:sz w:val="24"/>
          <w:szCs w:val="24"/>
          <w:lang w:val="hy-AM"/>
        </w:rPr>
        <w:t xml:space="preserve">քմ </w:t>
      </w:r>
      <w:r w:rsidR="007A722B" w:rsidRPr="005C082A">
        <w:rPr>
          <w:rFonts w:ascii="GHEA Grapalat" w:hAnsi="GHEA Grapalat"/>
          <w:b/>
          <w:i/>
          <w:sz w:val="24"/>
          <w:szCs w:val="24"/>
          <w:u w:val="single"/>
          <w:lang w:val="hy-AM"/>
        </w:rPr>
        <w:t>5սմ</w:t>
      </w:r>
      <w:r w:rsidR="007A722B" w:rsidRPr="005C082A">
        <w:rPr>
          <w:rFonts w:ascii="GHEA Grapalat" w:hAnsi="GHEA Grapalat"/>
          <w:sz w:val="24"/>
          <w:szCs w:val="24"/>
          <w:lang w:val="hy-AM"/>
        </w:rPr>
        <w:t xml:space="preserve"> հաստությամբ խոշորահատիկ ասֆալտբետոնե շերտի կառուցման աշխատանքներ գումարով </w:t>
      </w:r>
      <w:r w:rsidR="007A722B" w:rsidRPr="005C082A">
        <w:rPr>
          <w:rFonts w:ascii="GHEA Grapalat" w:hAnsi="GHEA Grapalat"/>
          <w:b/>
          <w:i/>
          <w:sz w:val="24"/>
          <w:szCs w:val="24"/>
          <w:u w:val="single"/>
          <w:lang w:val="hy-AM"/>
        </w:rPr>
        <w:t>1,389,942.90 հազ. դրամի</w:t>
      </w:r>
      <w:r w:rsidR="00F33EB0" w:rsidRPr="005C082A">
        <w:rPr>
          <w:rFonts w:ascii="GHEA Grapalat" w:hAnsi="GHEA Grapalat"/>
          <w:sz w:val="24"/>
          <w:szCs w:val="24"/>
          <w:lang w:val="hy-AM"/>
        </w:rPr>
        <w:t>։</w:t>
      </w:r>
    </w:p>
    <w:p w14:paraId="7A5DF610" w14:textId="1B54AD70" w:rsidR="00152611" w:rsidRPr="005C082A" w:rsidRDefault="00563FC9" w:rsidP="00563FC9">
      <w:pPr>
        <w:pStyle w:val="ListParagraph"/>
        <w:numPr>
          <w:ilvl w:val="0"/>
          <w:numId w:val="33"/>
        </w:numPr>
        <w:spacing w:line="276" w:lineRule="auto"/>
        <w:ind w:left="0" w:firstLine="567"/>
        <w:jc w:val="both"/>
        <w:rPr>
          <w:rFonts w:ascii="GHEA Grapalat" w:eastAsia="Times New Roman" w:hAnsi="GHEA Grapalat"/>
          <w:sz w:val="24"/>
          <w:szCs w:val="24"/>
          <w:lang w:val="hy-AM"/>
        </w:rPr>
      </w:pPr>
      <w:r w:rsidRPr="005C082A">
        <w:rPr>
          <w:rFonts w:ascii="GHEA Grapalat" w:hAnsi="GHEA Grapalat"/>
          <w:sz w:val="24"/>
          <w:szCs w:val="24"/>
          <w:lang w:val="hy-AM"/>
        </w:rPr>
        <w:t xml:space="preserve"> </w:t>
      </w:r>
      <w:r w:rsidR="00F33EB0" w:rsidRPr="005C082A">
        <w:rPr>
          <w:rFonts w:ascii="GHEA Grapalat" w:hAnsi="GHEA Grapalat"/>
          <w:sz w:val="24"/>
          <w:szCs w:val="24"/>
          <w:lang w:val="hy-AM"/>
        </w:rPr>
        <w:t xml:space="preserve">Փոփոխությունների արդյունքում կատարողականներով հաշվարկվել և </w:t>
      </w:r>
      <w:r w:rsidR="000F556C" w:rsidRPr="005C082A">
        <w:rPr>
          <w:rFonts w:ascii="GHEA Grapalat" w:hAnsi="GHEA Grapalat"/>
          <w:sz w:val="24"/>
          <w:szCs w:val="24"/>
          <w:lang w:val="hy-AM"/>
        </w:rPr>
        <w:t>Ծ</w:t>
      </w:r>
      <w:r w:rsidR="00F33EB0" w:rsidRPr="005C082A">
        <w:rPr>
          <w:rFonts w:ascii="GHEA Grapalat" w:hAnsi="GHEA Grapalat"/>
          <w:sz w:val="24"/>
          <w:szCs w:val="24"/>
          <w:lang w:val="hy-AM"/>
        </w:rPr>
        <w:t xml:space="preserve">րագրի միջոցներից </w:t>
      </w:r>
      <w:r w:rsidR="00F33EB0" w:rsidRPr="005C082A">
        <w:rPr>
          <w:rFonts w:ascii="GHEA Grapalat" w:hAnsi="GHEA Grapalat"/>
          <w:b/>
          <w:i/>
          <w:sz w:val="24"/>
          <w:szCs w:val="24"/>
          <w:u w:val="single"/>
          <w:lang w:val="hy-AM"/>
        </w:rPr>
        <w:t>1,195,638.91 հազ. դրամ</w:t>
      </w:r>
      <w:r w:rsidR="00F33EB0" w:rsidRPr="005C082A">
        <w:rPr>
          <w:rFonts w:ascii="GHEA Grapalat" w:hAnsi="GHEA Grapalat"/>
          <w:sz w:val="24"/>
          <w:szCs w:val="24"/>
          <w:lang w:val="hy-AM"/>
        </w:rPr>
        <w:t xml:space="preserve"> վճարվել են ճանապարհի օտարման</w:t>
      </w:r>
      <w:r w:rsidR="00F33EB0" w:rsidRPr="005C082A">
        <w:rPr>
          <w:rFonts w:ascii="GHEA Grapalat" w:hAnsi="GHEA Grapalat"/>
          <w:color w:val="000000"/>
          <w:sz w:val="24"/>
          <w:szCs w:val="24"/>
          <w:shd w:val="clear" w:color="auto" w:fill="FFFFFF"/>
          <w:lang w:val="hy-AM"/>
        </w:rPr>
        <w:t xml:space="preserve"> և (կամ) պաշտպանական գոտում գտնվող </w:t>
      </w:r>
      <w:r w:rsidR="00F33EB0" w:rsidRPr="005C082A">
        <w:rPr>
          <w:rFonts w:ascii="GHEA Grapalat" w:hAnsi="GHEA Grapalat"/>
          <w:sz w:val="24"/>
          <w:szCs w:val="24"/>
          <w:lang w:val="hy-AM"/>
        </w:rPr>
        <w:t xml:space="preserve">BEELINE-ի, ROSTELECOM-ի, «Գազպրոմ Արմենիա» ՓԲԸ-ի, «ՀԵԿ» ՓԲԸ-ի և Թուֆենկյան հանգստի գոտուն պատկանող </w:t>
      </w:r>
      <w:r w:rsidR="00F33EB0" w:rsidRPr="005C082A">
        <w:rPr>
          <w:rFonts w:ascii="GHEA Grapalat" w:hAnsi="GHEA Grapalat"/>
          <w:color w:val="000000"/>
          <w:sz w:val="24"/>
          <w:szCs w:val="24"/>
          <w:shd w:val="clear" w:color="auto" w:fill="FFFFFF"/>
          <w:lang w:val="hy-AM"/>
        </w:rPr>
        <w:t>հաղորդակցուղիների տեղափոխման և վերաշինման աշխատանքներ</w:t>
      </w:r>
      <w:r w:rsidR="000F556C" w:rsidRPr="005C082A">
        <w:rPr>
          <w:rFonts w:ascii="GHEA Grapalat" w:hAnsi="GHEA Grapalat"/>
          <w:color w:val="000000"/>
          <w:sz w:val="24"/>
          <w:szCs w:val="24"/>
          <w:shd w:val="clear" w:color="auto" w:fill="FFFFFF"/>
          <w:lang w:val="hy-AM"/>
        </w:rPr>
        <w:t>,</w:t>
      </w:r>
      <w:r w:rsidR="00F33EB0" w:rsidRPr="005C082A">
        <w:rPr>
          <w:rFonts w:ascii="GHEA Grapalat" w:hAnsi="GHEA Grapalat"/>
          <w:color w:val="000000"/>
          <w:sz w:val="24"/>
          <w:szCs w:val="24"/>
          <w:shd w:val="clear" w:color="auto" w:fill="FFFFFF"/>
          <w:lang w:val="hy-AM"/>
        </w:rPr>
        <w:t xml:space="preserve"> այնինչ</w:t>
      </w:r>
      <w:r w:rsidR="00BF6025" w:rsidRPr="005C082A">
        <w:rPr>
          <w:rFonts w:ascii="GHEA Grapalat" w:hAnsi="GHEA Grapalat"/>
          <w:color w:val="000000"/>
          <w:sz w:val="24"/>
          <w:szCs w:val="24"/>
          <w:shd w:val="clear" w:color="auto" w:fill="FFFFFF"/>
          <w:lang w:val="hy-AM"/>
        </w:rPr>
        <w:t>՝</w:t>
      </w:r>
      <w:r w:rsidR="00F33EB0" w:rsidRPr="005C082A">
        <w:rPr>
          <w:rFonts w:ascii="GHEA Grapalat" w:hAnsi="GHEA Grapalat"/>
          <w:color w:val="000000"/>
          <w:sz w:val="24"/>
          <w:szCs w:val="24"/>
          <w:shd w:val="clear" w:color="auto" w:fill="FFFFFF"/>
          <w:lang w:val="hy-AM"/>
        </w:rPr>
        <w:t xml:space="preserve"> համաձայն </w:t>
      </w:r>
      <w:r w:rsidR="00F33EB0" w:rsidRPr="005C082A">
        <w:rPr>
          <w:rFonts w:ascii="GHEA Grapalat" w:hAnsi="GHEA Grapalat"/>
          <w:sz w:val="24"/>
          <w:szCs w:val="24"/>
          <w:lang w:val="hy-AM"/>
        </w:rPr>
        <w:t>«Ավտոմոբիլային ճանապարհների մասին» ՀՀ օրենքի 12-րդ հոդվածի</w:t>
      </w:r>
      <w:r w:rsidR="00F33EB0" w:rsidRPr="005C082A">
        <w:rPr>
          <w:rFonts w:ascii="GHEA Grapalat" w:hAnsi="GHEA Grapalat"/>
          <w:color w:val="000000"/>
          <w:sz w:val="24"/>
          <w:szCs w:val="24"/>
          <w:shd w:val="clear" w:color="auto" w:fill="FFFFFF"/>
          <w:lang w:val="hy-AM"/>
        </w:rPr>
        <w:t xml:space="preserve"> ճանապարհի վերակառուցման կամ նորոգման դեպքում </w:t>
      </w:r>
      <w:r w:rsidR="000F556C" w:rsidRPr="005C082A">
        <w:rPr>
          <w:rFonts w:ascii="GHEA Grapalat" w:hAnsi="GHEA Grapalat"/>
          <w:color w:val="000000"/>
          <w:sz w:val="24"/>
          <w:szCs w:val="24"/>
          <w:shd w:val="clear" w:color="auto" w:fill="FFFFFF"/>
          <w:lang w:val="hy-AM"/>
        </w:rPr>
        <w:t>հաղորդակցուղիները</w:t>
      </w:r>
      <w:r w:rsidR="00F33EB0" w:rsidRPr="005C082A">
        <w:rPr>
          <w:rFonts w:ascii="GHEA Grapalat" w:hAnsi="GHEA Grapalat"/>
          <w:color w:val="000000"/>
          <w:sz w:val="24"/>
          <w:szCs w:val="24"/>
          <w:shd w:val="clear" w:color="auto" w:fill="FFFFFF"/>
          <w:lang w:val="hy-AM"/>
        </w:rPr>
        <w:t xml:space="preserve"> պետք է տեղափոխվեն կամ վերաշինվեն դրանց սեփականատիրոջ հաշվին։</w:t>
      </w:r>
    </w:p>
    <w:p w14:paraId="1BC1C890" w14:textId="7B021FD8" w:rsidR="00563FC9" w:rsidRPr="005C082A" w:rsidRDefault="00563FC9" w:rsidP="00563FC9">
      <w:pPr>
        <w:pStyle w:val="ListParagraph"/>
        <w:numPr>
          <w:ilvl w:val="0"/>
          <w:numId w:val="33"/>
        </w:numPr>
        <w:spacing w:line="276" w:lineRule="auto"/>
        <w:ind w:left="0" w:firstLine="567"/>
        <w:jc w:val="both"/>
        <w:rPr>
          <w:rFonts w:ascii="GHEA Grapalat" w:eastAsia="Times New Roman" w:hAnsi="GHEA Grapalat"/>
          <w:sz w:val="24"/>
          <w:szCs w:val="24"/>
          <w:lang w:val="hy-AM"/>
        </w:rPr>
      </w:pPr>
      <w:r w:rsidRPr="005C082A">
        <w:rPr>
          <w:rFonts w:ascii="GHEA Grapalat" w:hAnsi="GHEA Grapalat"/>
          <w:sz w:val="24"/>
          <w:szCs w:val="24"/>
          <w:lang w:val="hy-AM"/>
        </w:rPr>
        <w:t xml:space="preserve"> </w:t>
      </w:r>
      <w:r w:rsidR="007B60ED" w:rsidRPr="005C082A">
        <w:rPr>
          <w:rFonts w:ascii="GHEA Grapalat" w:hAnsi="GHEA Grapalat"/>
          <w:sz w:val="24"/>
          <w:szCs w:val="24"/>
          <w:lang w:val="hy-AM"/>
        </w:rPr>
        <w:t xml:space="preserve">Առանց հաշվարկի, </w:t>
      </w:r>
      <w:r w:rsidR="007A722B" w:rsidRPr="005C082A">
        <w:rPr>
          <w:rFonts w:ascii="GHEA Grapalat" w:hAnsi="GHEA Grapalat"/>
          <w:sz w:val="24"/>
          <w:szCs w:val="24"/>
          <w:lang w:val="hy-AM"/>
        </w:rPr>
        <w:t xml:space="preserve">Տեխնիկական վերահսկողության խմբի </w:t>
      </w:r>
      <w:r w:rsidR="007A722B" w:rsidRPr="005C082A">
        <w:rPr>
          <w:rFonts w:ascii="GHEA Grapalat" w:hAnsi="GHEA Grapalat"/>
          <w:b/>
          <w:i/>
          <w:sz w:val="24"/>
          <w:szCs w:val="24"/>
          <w:lang w:val="hy-AM"/>
        </w:rPr>
        <w:t>ղեկավար</w:t>
      </w:r>
      <w:r w:rsidR="00BF3E1C" w:rsidRPr="005C082A">
        <w:rPr>
          <w:rFonts w:ascii="GHEA Grapalat" w:hAnsi="GHEA Grapalat"/>
          <w:b/>
          <w:i/>
          <w:sz w:val="24"/>
          <w:szCs w:val="24"/>
          <w:lang w:val="hy-AM"/>
        </w:rPr>
        <w:t xml:space="preserve">ի փորձը հիմք ընդունելով </w:t>
      </w:r>
      <w:r w:rsidR="007B60ED" w:rsidRPr="005C082A">
        <w:rPr>
          <w:rFonts w:ascii="GHEA Grapalat" w:hAnsi="GHEA Grapalat"/>
          <w:b/>
          <w:i/>
          <w:sz w:val="24"/>
          <w:szCs w:val="24"/>
          <w:lang w:val="hy-AM"/>
        </w:rPr>
        <w:t xml:space="preserve">և </w:t>
      </w:r>
      <w:r w:rsidR="007A722B" w:rsidRPr="005C082A">
        <w:rPr>
          <w:rFonts w:ascii="GHEA Grapalat" w:hAnsi="GHEA Grapalat"/>
          <w:b/>
          <w:i/>
          <w:sz w:val="24"/>
          <w:szCs w:val="24"/>
          <w:lang w:val="hy-AM"/>
        </w:rPr>
        <w:t>նյութերի հատկությունների բարելավման նպատակով</w:t>
      </w:r>
      <w:r w:rsidR="007A722B" w:rsidRPr="005C082A">
        <w:rPr>
          <w:rFonts w:ascii="GHEA Grapalat" w:hAnsi="GHEA Grapalat"/>
          <w:sz w:val="24"/>
          <w:szCs w:val="24"/>
          <w:lang w:val="hy-AM"/>
        </w:rPr>
        <w:t xml:space="preserve">, </w:t>
      </w:r>
      <w:r w:rsidR="007B60ED" w:rsidRPr="005C082A">
        <w:rPr>
          <w:rFonts w:ascii="GHEA Grapalat" w:hAnsi="GHEA Grapalat"/>
          <w:sz w:val="24"/>
          <w:szCs w:val="24"/>
          <w:lang w:val="hy-AM"/>
        </w:rPr>
        <w:t xml:space="preserve">սկզբնական նախագծով և պայմանագրով նախատեսված 8սմ հաստությամբ սև խճի </w:t>
      </w:r>
      <w:r w:rsidR="007B60ED" w:rsidRPr="005C082A">
        <w:rPr>
          <w:rFonts w:ascii="GHEA Grapalat" w:hAnsi="GHEA Grapalat"/>
          <w:sz w:val="24"/>
          <w:szCs w:val="24"/>
          <w:lang w:val="hy-AM"/>
        </w:rPr>
        <w:lastRenderedPageBreak/>
        <w:t>փոխարեն իրականացվել է 242938քմ 8սմ հաստությամբ բիտումով կայունացված խճավազային խառնուրդի շերտ</w:t>
      </w:r>
      <w:r w:rsidR="006F17AF" w:rsidRPr="005C082A">
        <w:rPr>
          <w:rFonts w:ascii="GHEA Grapalat" w:hAnsi="GHEA Grapalat"/>
          <w:sz w:val="24"/>
          <w:szCs w:val="24"/>
          <w:lang w:val="hy-AM"/>
        </w:rPr>
        <w:t>ի կարուցման աշխատանքներ</w:t>
      </w:r>
      <w:r w:rsidR="007B60ED" w:rsidRPr="005C082A">
        <w:rPr>
          <w:rFonts w:ascii="GHEA Grapalat" w:hAnsi="GHEA Grapalat"/>
          <w:sz w:val="24"/>
          <w:szCs w:val="24"/>
          <w:lang w:val="hy-AM"/>
        </w:rPr>
        <w:t xml:space="preserve"> գումարով </w:t>
      </w:r>
      <w:r w:rsidR="007B60ED" w:rsidRPr="005C082A">
        <w:rPr>
          <w:rFonts w:ascii="GHEA Grapalat" w:hAnsi="GHEA Grapalat"/>
          <w:b/>
          <w:i/>
          <w:sz w:val="24"/>
          <w:szCs w:val="24"/>
          <w:u w:val="single"/>
          <w:lang w:val="hy-AM"/>
        </w:rPr>
        <w:t>1,130,311.04 հազ. դրամի</w:t>
      </w:r>
      <w:r w:rsidR="007B60ED" w:rsidRPr="005C082A">
        <w:rPr>
          <w:rFonts w:ascii="GHEA Grapalat" w:hAnsi="GHEA Grapalat"/>
          <w:sz w:val="24"/>
          <w:szCs w:val="24"/>
          <w:lang w:val="hy-AM"/>
        </w:rPr>
        <w:t>, այնինչ համաձայն ՀՀՇՆ IV-11.05.02-99-ի ճանապարհային պատվածքի կոնստրուկտիվ շերտերի բարձրություն</w:t>
      </w:r>
      <w:r w:rsidR="00152611" w:rsidRPr="005C082A">
        <w:rPr>
          <w:rFonts w:ascii="GHEA Grapalat" w:hAnsi="GHEA Grapalat"/>
          <w:sz w:val="24"/>
          <w:szCs w:val="24"/>
          <w:lang w:val="hy-AM"/>
        </w:rPr>
        <w:t xml:space="preserve">ը </w:t>
      </w:r>
      <w:r w:rsidR="007B60ED" w:rsidRPr="005C082A">
        <w:rPr>
          <w:rFonts w:ascii="GHEA Grapalat" w:hAnsi="GHEA Grapalat"/>
          <w:b/>
          <w:i/>
          <w:sz w:val="24"/>
          <w:szCs w:val="24"/>
          <w:lang w:val="hy-AM"/>
        </w:rPr>
        <w:t>պետք է նշանակվի հաշվարկով</w:t>
      </w:r>
      <w:r w:rsidR="007B60ED" w:rsidRPr="005C082A">
        <w:rPr>
          <w:rFonts w:ascii="GHEA Grapalat" w:hAnsi="GHEA Grapalat"/>
          <w:sz w:val="24"/>
          <w:szCs w:val="24"/>
          <w:lang w:val="hy-AM"/>
        </w:rPr>
        <w:t xml:space="preserve">։ Բացի այդ, համաձայն Խորհրդատուի տված մասնագիտական եզրակացության, </w:t>
      </w:r>
      <w:r w:rsidR="00DE268F" w:rsidRPr="005C082A">
        <w:rPr>
          <w:rFonts w:ascii="GHEA Grapalat" w:hAnsi="GHEA Grapalat"/>
          <w:sz w:val="24"/>
          <w:szCs w:val="24"/>
          <w:lang w:val="hy-AM"/>
        </w:rPr>
        <w:t>ն</w:t>
      </w:r>
      <w:r w:rsidR="007B60ED" w:rsidRPr="005C082A">
        <w:rPr>
          <w:rFonts w:ascii="GHEA Grapalat" w:hAnsi="GHEA Grapalat"/>
          <w:sz w:val="24"/>
          <w:szCs w:val="24"/>
          <w:lang w:val="hy-AM"/>
        </w:rPr>
        <w:t>շված</w:t>
      </w:r>
      <w:r w:rsidR="007A722B" w:rsidRPr="005C082A">
        <w:rPr>
          <w:rFonts w:ascii="GHEA Grapalat" w:hAnsi="GHEA Grapalat"/>
          <w:sz w:val="24"/>
          <w:szCs w:val="24"/>
          <w:lang w:val="hy-AM"/>
        </w:rPr>
        <w:t xml:space="preserve"> </w:t>
      </w:r>
      <w:r w:rsidR="007A722B" w:rsidRPr="005C082A">
        <w:rPr>
          <w:rFonts w:ascii="GHEA Grapalat" w:hAnsi="GHEA Grapalat"/>
          <w:b/>
          <w:i/>
          <w:sz w:val="24"/>
          <w:szCs w:val="24"/>
          <w:lang w:val="hy-AM"/>
        </w:rPr>
        <w:t>փոփոխությունը պատվածքի ամրության վրա չի ազդ</w:t>
      </w:r>
      <w:r w:rsidR="007B60ED" w:rsidRPr="005C082A">
        <w:rPr>
          <w:rFonts w:ascii="GHEA Grapalat" w:hAnsi="GHEA Grapalat"/>
          <w:b/>
          <w:i/>
          <w:sz w:val="24"/>
          <w:szCs w:val="24"/>
          <w:lang w:val="hy-AM"/>
        </w:rPr>
        <w:t>ել</w:t>
      </w:r>
      <w:r w:rsidR="007B60ED" w:rsidRPr="005C082A">
        <w:rPr>
          <w:rFonts w:ascii="GHEA Grapalat" w:hAnsi="GHEA Grapalat"/>
          <w:sz w:val="24"/>
          <w:szCs w:val="24"/>
          <w:lang w:val="hy-AM"/>
        </w:rPr>
        <w:t>, այսինքն հատկությունների որևէ բարելավում տեղի չի ունեցել</w:t>
      </w:r>
      <w:r w:rsidR="00DE268F" w:rsidRPr="005C082A">
        <w:rPr>
          <w:rFonts w:ascii="GHEA Grapalat" w:hAnsi="GHEA Grapalat"/>
          <w:sz w:val="24"/>
          <w:szCs w:val="24"/>
          <w:lang w:val="hy-AM"/>
        </w:rPr>
        <w:t>,</w:t>
      </w:r>
      <w:r w:rsidR="007B60ED" w:rsidRPr="005C082A">
        <w:rPr>
          <w:rFonts w:ascii="GHEA Grapalat" w:hAnsi="GHEA Grapalat"/>
          <w:sz w:val="24"/>
          <w:szCs w:val="24"/>
          <w:lang w:val="hy-AM"/>
        </w:rPr>
        <w:t xml:space="preserve"> սակայն փոփոխության արդունքում պայմանագրային գինը ավելացվել է </w:t>
      </w:r>
      <w:r w:rsidR="00DE268F" w:rsidRPr="005C082A">
        <w:rPr>
          <w:rFonts w:ascii="GHEA Grapalat" w:hAnsi="GHEA Grapalat"/>
          <w:b/>
          <w:i/>
          <w:sz w:val="24"/>
          <w:szCs w:val="24"/>
          <w:lang w:val="hy-AM"/>
        </w:rPr>
        <w:t>101,920.68 հազ. դրամով</w:t>
      </w:r>
      <w:r w:rsidR="007A722B" w:rsidRPr="005C082A">
        <w:rPr>
          <w:rFonts w:ascii="GHEA Grapalat" w:hAnsi="GHEA Grapalat"/>
          <w:sz w:val="24"/>
          <w:szCs w:val="24"/>
          <w:lang w:val="hy-AM"/>
        </w:rPr>
        <w:t xml:space="preserve">։ </w:t>
      </w:r>
      <w:r w:rsidR="00235B23" w:rsidRPr="005C082A">
        <w:rPr>
          <w:rFonts w:ascii="GHEA Grapalat" w:hAnsi="GHEA Grapalat"/>
          <w:sz w:val="24"/>
          <w:szCs w:val="24"/>
          <w:lang w:val="hy-AM"/>
        </w:rPr>
        <w:t>Ընդ որում փոփոխության արդյունքում պայմանագրային գինը ավելաց</w:t>
      </w:r>
      <w:r w:rsidR="003810E9" w:rsidRPr="00650A93">
        <w:rPr>
          <w:rFonts w:ascii="GHEA Grapalat" w:hAnsi="GHEA Grapalat"/>
          <w:sz w:val="24"/>
          <w:szCs w:val="24"/>
          <w:lang w:val="hy-AM"/>
        </w:rPr>
        <w:t>վ</w:t>
      </w:r>
      <w:r w:rsidR="00235B23" w:rsidRPr="005C082A">
        <w:rPr>
          <w:rFonts w:ascii="GHEA Grapalat" w:hAnsi="GHEA Grapalat"/>
          <w:sz w:val="24"/>
          <w:szCs w:val="24"/>
          <w:lang w:val="hy-AM"/>
        </w:rPr>
        <w:t xml:space="preserve">ել </w:t>
      </w:r>
      <w:r w:rsidR="003810E9" w:rsidRPr="00650A93">
        <w:rPr>
          <w:rFonts w:ascii="GHEA Grapalat" w:hAnsi="GHEA Grapalat"/>
          <w:sz w:val="24"/>
          <w:szCs w:val="24"/>
          <w:lang w:val="hy-AM"/>
        </w:rPr>
        <w:t xml:space="preserve">է </w:t>
      </w:r>
      <w:r w:rsidR="00235B23" w:rsidRPr="003810E9">
        <w:rPr>
          <w:rFonts w:ascii="GHEA Grapalat" w:hAnsi="GHEA Grapalat"/>
          <w:sz w:val="24"/>
          <w:szCs w:val="24"/>
          <w:lang w:val="hy-AM"/>
        </w:rPr>
        <w:t xml:space="preserve">101,920.68 հազ. </w:t>
      </w:r>
      <w:r w:rsidR="00235B23" w:rsidRPr="005C082A">
        <w:rPr>
          <w:rFonts w:ascii="GHEA Grapalat" w:hAnsi="GHEA Grapalat"/>
          <w:sz w:val="24"/>
          <w:szCs w:val="24"/>
          <w:lang w:val="hy-AM"/>
        </w:rPr>
        <w:t>դրամով այն դեպքում</w:t>
      </w:r>
      <w:r w:rsidR="00152611" w:rsidRPr="005C082A">
        <w:rPr>
          <w:rFonts w:ascii="GHEA Grapalat" w:hAnsi="GHEA Grapalat"/>
          <w:sz w:val="24"/>
          <w:szCs w:val="24"/>
          <w:lang w:val="hy-AM"/>
        </w:rPr>
        <w:t>,</w:t>
      </w:r>
      <w:r w:rsidR="00235B23" w:rsidRPr="005C082A">
        <w:rPr>
          <w:rFonts w:ascii="GHEA Grapalat" w:hAnsi="GHEA Grapalat"/>
          <w:sz w:val="24"/>
          <w:szCs w:val="24"/>
          <w:lang w:val="hy-AM"/>
        </w:rPr>
        <w:t xml:space="preserve"> երբ</w:t>
      </w:r>
      <w:r w:rsidR="00F33EB0" w:rsidRPr="005C082A">
        <w:rPr>
          <w:rFonts w:ascii="GHEA Grapalat" w:hAnsi="GHEA Grapalat"/>
          <w:sz w:val="24"/>
          <w:szCs w:val="24"/>
          <w:lang w:val="hy-AM"/>
        </w:rPr>
        <w:t xml:space="preserve"> նախահաշվային արժեքներով </w:t>
      </w:r>
      <w:r w:rsidR="00235B23" w:rsidRPr="005C082A">
        <w:rPr>
          <w:rFonts w:ascii="GHEA Grapalat" w:hAnsi="GHEA Grapalat"/>
          <w:sz w:val="24"/>
          <w:szCs w:val="24"/>
          <w:lang w:val="hy-AM"/>
        </w:rPr>
        <w:t xml:space="preserve">լրացուցիչ կատարված աշխատանքները </w:t>
      </w:r>
      <w:r w:rsidR="00152611" w:rsidRPr="005C082A">
        <w:rPr>
          <w:rFonts w:ascii="GHEA Grapalat" w:hAnsi="GHEA Grapalat"/>
          <w:sz w:val="24"/>
          <w:szCs w:val="24"/>
          <w:lang w:val="hy-AM"/>
        </w:rPr>
        <w:t xml:space="preserve">ոչ թե թանկ են փոխարինված (չկատարված) աշխատանքներից այլ ընդհակառակը </w:t>
      </w:r>
      <w:r w:rsidR="007A722B" w:rsidRPr="005C082A">
        <w:rPr>
          <w:rFonts w:ascii="GHEA Grapalat" w:hAnsi="GHEA Grapalat"/>
          <w:b/>
          <w:i/>
          <w:sz w:val="24"/>
          <w:szCs w:val="24"/>
          <w:u w:val="single"/>
          <w:lang w:val="hy-AM"/>
        </w:rPr>
        <w:t>277,766.54 հազ. դրամով</w:t>
      </w:r>
      <w:r w:rsidR="007A722B" w:rsidRPr="005C082A">
        <w:rPr>
          <w:rFonts w:ascii="GHEA Grapalat" w:hAnsi="GHEA Grapalat"/>
          <w:sz w:val="24"/>
          <w:szCs w:val="24"/>
          <w:lang w:val="hy-AM"/>
        </w:rPr>
        <w:t xml:space="preserve"> ավելի </w:t>
      </w:r>
      <w:r w:rsidR="00F33EB0" w:rsidRPr="005C082A">
        <w:rPr>
          <w:rFonts w:ascii="GHEA Grapalat" w:hAnsi="GHEA Grapalat"/>
          <w:sz w:val="24"/>
          <w:szCs w:val="24"/>
          <w:lang w:val="hy-AM"/>
        </w:rPr>
        <w:t>էժան են փոխարինված (չկատարված) աշխատանքներ</w:t>
      </w:r>
      <w:r w:rsidR="00152611" w:rsidRPr="005C082A">
        <w:rPr>
          <w:rFonts w:ascii="GHEA Grapalat" w:hAnsi="GHEA Grapalat"/>
          <w:sz w:val="24"/>
          <w:szCs w:val="24"/>
          <w:lang w:val="hy-AM"/>
        </w:rPr>
        <w:t>ից</w:t>
      </w:r>
      <w:r w:rsidR="00F33EB0" w:rsidRPr="005C082A">
        <w:rPr>
          <w:rFonts w:ascii="GHEA Grapalat" w:hAnsi="GHEA Grapalat"/>
          <w:sz w:val="24"/>
          <w:szCs w:val="24"/>
          <w:lang w:val="hy-AM"/>
        </w:rPr>
        <w:t>։</w:t>
      </w:r>
    </w:p>
    <w:p w14:paraId="7DA0D8BF" w14:textId="3EB87B73" w:rsidR="008D65F5" w:rsidRDefault="00563FC9" w:rsidP="00563FC9">
      <w:pPr>
        <w:pStyle w:val="ListParagraph"/>
        <w:numPr>
          <w:ilvl w:val="0"/>
          <w:numId w:val="33"/>
        </w:numPr>
        <w:spacing w:line="276" w:lineRule="auto"/>
        <w:ind w:left="0" w:firstLine="567"/>
        <w:jc w:val="both"/>
        <w:rPr>
          <w:rFonts w:ascii="GHEA Grapalat" w:eastAsia="Times New Roman" w:hAnsi="GHEA Grapalat" w:cs="Calibri"/>
          <w:color w:val="000000"/>
          <w:sz w:val="24"/>
          <w:szCs w:val="24"/>
          <w:lang w:val="hy-AM"/>
        </w:rPr>
      </w:pPr>
      <w:r w:rsidRPr="005C082A">
        <w:rPr>
          <w:rFonts w:ascii="GHEA Grapalat" w:hAnsi="GHEA Grapalat"/>
          <w:sz w:val="24"/>
          <w:szCs w:val="24"/>
          <w:lang w:val="hy-AM"/>
        </w:rPr>
        <w:t xml:space="preserve"> </w:t>
      </w:r>
      <w:r w:rsidR="009C3FE1" w:rsidRPr="005C082A">
        <w:rPr>
          <w:rFonts w:ascii="GHEA Grapalat" w:hAnsi="GHEA Grapalat"/>
          <w:sz w:val="24"/>
          <w:szCs w:val="24"/>
          <w:lang w:val="hy-AM"/>
        </w:rPr>
        <w:t>Աշխատանքների իրականացման ընթացքում կատարված փոփոխությունների արդյունքում էականորեն փոփոխվել են աշխատանքների ծավալներն և անվանումները։ Առանձին պայմանագրով ընդամենը 22% աշխատանքներն է որ չեն փոփոխվել։</w:t>
      </w:r>
      <w:r w:rsidR="003A2F09" w:rsidRPr="005C082A">
        <w:rPr>
          <w:rFonts w:ascii="GHEA Grapalat" w:hAnsi="GHEA Grapalat"/>
          <w:sz w:val="24"/>
          <w:szCs w:val="24"/>
          <w:lang w:val="hy-AM"/>
        </w:rPr>
        <w:t xml:space="preserve"> </w:t>
      </w:r>
      <w:r w:rsidRPr="005C082A">
        <w:rPr>
          <w:rFonts w:ascii="GHEA Grapalat" w:hAnsi="GHEA Grapalat"/>
          <w:sz w:val="24"/>
          <w:szCs w:val="24"/>
          <w:lang w:val="hy-AM"/>
        </w:rPr>
        <w:t>Երկու Լոտերի շրջանակում, ե</w:t>
      </w:r>
      <w:r w:rsidR="003A2F09" w:rsidRPr="005C082A">
        <w:rPr>
          <w:rFonts w:ascii="GHEA Grapalat" w:eastAsia="Times New Roman" w:hAnsi="GHEA Grapalat" w:cs="Calibri"/>
          <w:color w:val="000000"/>
          <w:sz w:val="24"/>
          <w:szCs w:val="24"/>
          <w:lang w:val="hy-AM"/>
        </w:rPr>
        <w:t xml:space="preserve">թե ի սկզբանե </w:t>
      </w:r>
      <w:r w:rsidRPr="005C082A">
        <w:rPr>
          <w:rFonts w:ascii="GHEA Grapalat" w:eastAsia="Times New Roman" w:hAnsi="GHEA Grapalat" w:cs="Calibri"/>
          <w:color w:val="000000"/>
          <w:sz w:val="24"/>
          <w:szCs w:val="24"/>
          <w:lang w:val="hy-AM"/>
        </w:rPr>
        <w:t>12,617,203</w:t>
      </w:r>
      <w:r w:rsidR="003A2F09" w:rsidRPr="005C082A">
        <w:rPr>
          <w:rFonts w:ascii="GHEA Grapalat" w:eastAsia="Times New Roman" w:hAnsi="GHEA Grapalat" w:cs="Calibri"/>
          <w:color w:val="000000"/>
          <w:sz w:val="24"/>
          <w:szCs w:val="24"/>
          <w:lang w:val="hy-AM"/>
        </w:rPr>
        <w:t xml:space="preserve">.00 </w:t>
      </w:r>
      <w:r w:rsidRPr="005C082A">
        <w:rPr>
          <w:rFonts w:ascii="GHEA Grapalat" w:eastAsia="Times New Roman" w:hAnsi="GHEA Grapalat" w:cs="Calibri"/>
          <w:color w:val="000000"/>
          <w:sz w:val="24"/>
          <w:szCs w:val="24"/>
          <w:lang w:val="hy-AM"/>
        </w:rPr>
        <w:t>հ</w:t>
      </w:r>
      <w:r w:rsidR="003A2F09" w:rsidRPr="005C082A">
        <w:rPr>
          <w:rFonts w:ascii="GHEA Grapalat" w:eastAsia="Times New Roman" w:hAnsi="GHEA Grapalat" w:cs="Calibri"/>
          <w:color w:val="000000"/>
          <w:sz w:val="24"/>
          <w:szCs w:val="24"/>
          <w:lang w:val="hy-AM"/>
        </w:rPr>
        <w:t xml:space="preserve">ազ. դրամ նախահաշային արժեքներով աշխատանքների կատարման համար կնքվել էին </w:t>
      </w:r>
      <w:r w:rsidRPr="005C082A">
        <w:rPr>
          <w:rFonts w:ascii="GHEA Grapalat" w:eastAsia="Times New Roman" w:hAnsi="GHEA Grapalat" w:cs="Calibri"/>
          <w:color w:val="000000"/>
          <w:sz w:val="24"/>
          <w:szCs w:val="24"/>
          <w:lang w:val="hy-AM"/>
        </w:rPr>
        <w:t>11,007,122</w:t>
      </w:r>
      <w:r w:rsidR="003A2F09" w:rsidRPr="005C082A">
        <w:rPr>
          <w:rFonts w:ascii="GHEA Grapalat" w:eastAsia="Times New Roman" w:hAnsi="GHEA Grapalat" w:cs="Calibri"/>
          <w:color w:val="000000"/>
          <w:sz w:val="24"/>
          <w:szCs w:val="24"/>
          <w:lang w:val="hy-AM"/>
        </w:rPr>
        <w:t>.</w:t>
      </w:r>
      <w:r w:rsidRPr="005C082A">
        <w:rPr>
          <w:rFonts w:ascii="GHEA Grapalat" w:eastAsia="Times New Roman" w:hAnsi="GHEA Grapalat" w:cs="Calibri"/>
          <w:color w:val="000000"/>
          <w:sz w:val="24"/>
          <w:szCs w:val="24"/>
          <w:lang w:val="hy-AM"/>
        </w:rPr>
        <w:t>3</w:t>
      </w:r>
      <w:r w:rsidR="003A2F09" w:rsidRPr="005C082A">
        <w:rPr>
          <w:rFonts w:ascii="GHEA Grapalat" w:eastAsia="Times New Roman" w:hAnsi="GHEA Grapalat" w:cs="Calibri"/>
          <w:color w:val="000000"/>
          <w:sz w:val="24"/>
          <w:szCs w:val="24"/>
          <w:lang w:val="hy-AM"/>
        </w:rPr>
        <w:t xml:space="preserve">0  հազ. դրամի պայմանագրեր կամ նախահաշվային արժեքներից </w:t>
      </w:r>
      <w:r w:rsidRPr="005C082A">
        <w:rPr>
          <w:rFonts w:ascii="GHEA Grapalat" w:eastAsia="Times New Roman" w:hAnsi="GHEA Grapalat" w:cs="Calibri"/>
          <w:color w:val="000000"/>
          <w:sz w:val="24"/>
          <w:szCs w:val="24"/>
          <w:lang w:val="hy-AM"/>
        </w:rPr>
        <w:t>1,610,080</w:t>
      </w:r>
      <w:r w:rsidR="003A2F09" w:rsidRPr="005C082A">
        <w:rPr>
          <w:rFonts w:ascii="GHEA Grapalat" w:eastAsia="Times New Roman" w:hAnsi="GHEA Grapalat" w:cs="Calibri"/>
          <w:color w:val="000000"/>
          <w:sz w:val="24"/>
          <w:szCs w:val="24"/>
          <w:lang w:val="hy-AM"/>
        </w:rPr>
        <w:t xml:space="preserve">.70 հազ. դրամով էժան, ապա շինարարության ընթացքում կատարվել են այնպիսի փոփոխություններ և նոր կատարվող աշխատանքների համար սահմանվել են այնպիսի գներ որ վերջնական պայմանագրային գները և հաշվարկված կատարողականների գումարը ոչ թե էժան է այդ աշխատանքների սահմանված կարգով հաշվարկի դեպքում ստացվող նախահաշվային արժեքներից, այլ </w:t>
      </w:r>
      <w:r w:rsidRPr="005C082A">
        <w:rPr>
          <w:rFonts w:ascii="GHEA Grapalat" w:eastAsia="Times New Roman" w:hAnsi="GHEA Grapalat" w:cs="Calibri"/>
          <w:b/>
          <w:i/>
          <w:color w:val="000000"/>
          <w:sz w:val="24"/>
          <w:szCs w:val="24"/>
          <w:u w:val="single"/>
          <w:lang w:val="hy-AM"/>
        </w:rPr>
        <w:t xml:space="preserve">1,543,033.63 </w:t>
      </w:r>
      <w:r w:rsidR="003A2F09" w:rsidRPr="005C082A">
        <w:rPr>
          <w:rFonts w:ascii="GHEA Grapalat" w:eastAsia="Times New Roman" w:hAnsi="GHEA Grapalat" w:cs="Calibri"/>
          <w:b/>
          <w:i/>
          <w:color w:val="000000"/>
          <w:sz w:val="24"/>
          <w:szCs w:val="24"/>
          <w:u w:val="single"/>
          <w:lang w:val="hy-AM"/>
        </w:rPr>
        <w:t>հազ. դրամով</w:t>
      </w:r>
      <w:r w:rsidR="003A2F09" w:rsidRPr="005C082A">
        <w:rPr>
          <w:rFonts w:ascii="GHEA Grapalat" w:eastAsia="Times New Roman" w:hAnsi="GHEA Grapalat" w:cs="Calibri"/>
          <w:color w:val="000000"/>
          <w:sz w:val="24"/>
          <w:szCs w:val="24"/>
          <w:lang w:val="hy-AM"/>
        </w:rPr>
        <w:t xml:space="preserve"> գերազանցում է այդ </w:t>
      </w:r>
      <w:r w:rsidR="00CB03CB" w:rsidRPr="005C082A">
        <w:rPr>
          <w:rFonts w:ascii="GHEA Grapalat" w:eastAsia="Times New Roman" w:hAnsi="GHEA Grapalat" w:cs="Calibri"/>
          <w:color w:val="000000"/>
          <w:sz w:val="24"/>
          <w:szCs w:val="24"/>
          <w:lang w:val="hy-AM"/>
        </w:rPr>
        <w:t xml:space="preserve">նախահաշվային </w:t>
      </w:r>
      <w:r w:rsidR="003A2F09" w:rsidRPr="005C082A">
        <w:rPr>
          <w:rFonts w:ascii="GHEA Grapalat" w:eastAsia="Times New Roman" w:hAnsi="GHEA Grapalat" w:cs="Calibri"/>
          <w:color w:val="000000"/>
          <w:sz w:val="24"/>
          <w:szCs w:val="24"/>
          <w:lang w:val="hy-AM"/>
        </w:rPr>
        <w:t>արժեքը</w:t>
      </w:r>
      <w:r w:rsidR="003A2F09" w:rsidRPr="003810E9">
        <w:rPr>
          <w:rFonts w:ascii="GHEA Grapalat" w:eastAsia="Times New Roman" w:hAnsi="GHEA Grapalat" w:cs="Calibri"/>
          <w:color w:val="000000"/>
          <w:sz w:val="24"/>
          <w:szCs w:val="24"/>
          <w:lang w:val="hy-AM"/>
        </w:rPr>
        <w:t>։</w:t>
      </w:r>
    </w:p>
    <w:p w14:paraId="4664B196" w14:textId="09CB7BC3" w:rsidR="00B009AC" w:rsidRPr="003810E9" w:rsidRDefault="00B009AC" w:rsidP="00FF16B1">
      <w:pPr>
        <w:spacing w:after="0"/>
        <w:rPr>
          <w:rFonts w:eastAsia="Times New Roman" w:cs="Calibri"/>
          <w:color w:val="000000"/>
          <w:szCs w:val="24"/>
          <w:lang w:val="hy-AM"/>
        </w:rPr>
      </w:pPr>
      <w:r w:rsidRPr="00650A93">
        <w:rPr>
          <w:rFonts w:eastAsia="Times New Roman" w:cs="GHEA Grapalat"/>
          <w:szCs w:val="24"/>
          <w:lang w:val="hy-AM"/>
        </w:rPr>
        <w:t xml:space="preserve">Հաշվեքննության ընթացքում կազմված թիվ 1 արձանագրությունը </w:t>
      </w:r>
      <w:r w:rsidR="004D730F" w:rsidRPr="00650A93">
        <w:rPr>
          <w:rFonts w:eastAsia="Times New Roman" w:cs="GHEA Grapalat"/>
          <w:szCs w:val="24"/>
          <w:lang w:val="hy-AM"/>
        </w:rPr>
        <w:t xml:space="preserve"> 14</w:t>
      </w:r>
      <w:r w:rsidRPr="00650A93">
        <w:rPr>
          <w:rFonts w:ascii="Cambria Math" w:eastAsia="Times New Roman" w:hAnsi="Cambria Math" w:cs="Cambria Math"/>
          <w:szCs w:val="24"/>
          <w:lang w:val="hy-AM"/>
        </w:rPr>
        <w:t>․</w:t>
      </w:r>
      <w:r w:rsidRPr="00650A93">
        <w:rPr>
          <w:rFonts w:eastAsia="Times New Roman" w:cs="GHEA Grapalat"/>
          <w:szCs w:val="24"/>
          <w:lang w:val="hy-AM"/>
        </w:rPr>
        <w:t>02.2023 թվականին ներկայացվել է հաշվեքննվող օբյեկտի ղեկավարին, որի վերաբերյալ  27.02.2023 թվականին ներկայացվել է հաշառարկություններ և բացատրություններ։ Առարկություններն և բացատրությունները և դրանց վերաբերյալ հաշվեքննողների մեկնաբանությունները ներկայացված են Ընթացիկ եզրակացության 5-րդ և 6-</w:t>
      </w:r>
      <w:r w:rsidR="00253D27" w:rsidRPr="00FF16B1">
        <w:rPr>
          <w:rFonts w:eastAsia="Times New Roman" w:cs="GHEA Grapalat"/>
          <w:szCs w:val="24"/>
          <w:lang w:val="hy-AM"/>
        </w:rPr>
        <w:t>րդ</w:t>
      </w:r>
      <w:r w:rsidR="00253D27" w:rsidRPr="00650A93">
        <w:rPr>
          <w:rFonts w:eastAsia="Times New Roman" w:cs="GHEA Grapalat"/>
          <w:szCs w:val="24"/>
          <w:lang w:val="hy-AM"/>
        </w:rPr>
        <w:t xml:space="preserve"> </w:t>
      </w:r>
      <w:r w:rsidR="00253D27" w:rsidRPr="00FF16B1">
        <w:rPr>
          <w:rFonts w:eastAsia="Times New Roman" w:cs="GHEA Grapalat"/>
          <w:szCs w:val="24"/>
          <w:lang w:val="hy-AM"/>
        </w:rPr>
        <w:t>բաժիններում։</w:t>
      </w:r>
    </w:p>
    <w:p w14:paraId="0BF62E43" w14:textId="77777777" w:rsidR="008D65F5" w:rsidRPr="005C082A" w:rsidRDefault="008D65F5">
      <w:pPr>
        <w:spacing w:before="0" w:after="160" w:line="259" w:lineRule="auto"/>
        <w:ind w:firstLine="0"/>
        <w:jc w:val="left"/>
        <w:rPr>
          <w:rFonts w:eastAsia="Times New Roman" w:cs="Calibri"/>
          <w:color w:val="000000"/>
          <w:szCs w:val="24"/>
          <w:lang w:val="hy-AM"/>
        </w:rPr>
      </w:pPr>
      <w:r w:rsidRPr="003810E9">
        <w:rPr>
          <w:rFonts w:eastAsia="Times New Roman" w:cs="Calibri"/>
          <w:color w:val="000000"/>
          <w:szCs w:val="24"/>
          <w:lang w:val="hy-AM"/>
        </w:rPr>
        <w:br w:type="page"/>
      </w:r>
    </w:p>
    <w:p w14:paraId="29A20A4B" w14:textId="6C8D5602" w:rsidR="00AC7646" w:rsidRPr="00650A93" w:rsidRDefault="00F77527" w:rsidP="00A43096">
      <w:pPr>
        <w:pStyle w:val="Heading1"/>
        <w:numPr>
          <w:ilvl w:val="0"/>
          <w:numId w:val="3"/>
        </w:numPr>
        <w:rPr>
          <w:rStyle w:val="Hyperlink"/>
          <w:color w:val="auto"/>
          <w:u w:val="none"/>
        </w:rPr>
      </w:pPr>
      <w:bookmarkStart w:id="7" w:name="_Toc127462664"/>
      <w:bookmarkStart w:id="8" w:name="_Toc128393695"/>
      <w:r w:rsidRPr="005C082A">
        <w:rPr>
          <w:rStyle w:val="Hyperlink"/>
          <w:color w:val="auto"/>
          <w:u w:val="none"/>
          <w:lang w:val="en-GB"/>
        </w:rPr>
        <w:lastRenderedPageBreak/>
        <w:t>ԱՆԿԱԽ ՀԱՇՎԵՔՆՆՈՒԹՅԱՆ ԿԱՐԾԻՔ</w:t>
      </w:r>
      <w:bookmarkEnd w:id="7"/>
      <w:bookmarkEnd w:id="8"/>
    </w:p>
    <w:p w14:paraId="5BB10161" w14:textId="77777777" w:rsidR="00FF16B1" w:rsidRDefault="00FF16B1" w:rsidP="000D41BE">
      <w:pPr>
        <w:ind w:firstLine="567"/>
        <w:rPr>
          <w:i/>
          <w:szCs w:val="24"/>
          <w:lang w:val="hy-AM"/>
        </w:rPr>
      </w:pPr>
    </w:p>
    <w:p w14:paraId="2AFCC0FD" w14:textId="77777777" w:rsidR="00FF16B1" w:rsidRDefault="00FF16B1" w:rsidP="000D41BE">
      <w:pPr>
        <w:ind w:firstLine="567"/>
        <w:rPr>
          <w:i/>
          <w:szCs w:val="24"/>
          <w:lang w:val="hy-AM"/>
        </w:rPr>
      </w:pPr>
    </w:p>
    <w:p w14:paraId="47119961" w14:textId="011C051C" w:rsidR="00EA4EB8" w:rsidRPr="005C082A" w:rsidRDefault="00EA4EB8" w:rsidP="000D41BE">
      <w:pPr>
        <w:ind w:firstLine="567"/>
        <w:rPr>
          <w:i/>
          <w:szCs w:val="24"/>
          <w:lang w:val="hy-AM"/>
        </w:rPr>
      </w:pPr>
      <w:r w:rsidRPr="005C082A">
        <w:rPr>
          <w:i/>
          <w:szCs w:val="24"/>
          <w:lang w:val="hy-AM"/>
        </w:rPr>
        <w:t>ՀՀ տարածքային կառավարման և ենթակառուցվածքների նախարարին:</w:t>
      </w:r>
    </w:p>
    <w:p w14:paraId="0935F5AF" w14:textId="06F6A2E3" w:rsidR="00EA4EB8" w:rsidRPr="005C082A" w:rsidRDefault="00EA4EB8" w:rsidP="000D41BE">
      <w:pPr>
        <w:ind w:firstLine="567"/>
        <w:rPr>
          <w:szCs w:val="24"/>
          <w:lang w:val="hy-AM"/>
        </w:rPr>
      </w:pPr>
      <w:r w:rsidRPr="005C082A">
        <w:rPr>
          <w:szCs w:val="24"/>
          <w:lang w:val="hy-AM"/>
        </w:rPr>
        <w:t>Մենք հաշվեքննության ենք ենթարկել 2017-2019 թվականների ընթացքում ՀՀ տարածքային կառավարման և ենթակառուցվածքների նախարարության (այսուհետ՝ Նախարարություն) կողմից իրականացված՝ «</w:t>
      </w:r>
      <w:r w:rsidR="0033775C" w:rsidRPr="005C082A">
        <w:rPr>
          <w:rFonts w:cs="Cambria Math"/>
          <w:szCs w:val="24"/>
          <w:lang w:val="hy-AM"/>
        </w:rPr>
        <w:t>Ճանապարհային ցանցի բարելավման</w:t>
      </w:r>
      <w:r w:rsidRPr="005C082A">
        <w:rPr>
          <w:rFonts w:cs="Cambria Math"/>
          <w:szCs w:val="24"/>
          <w:lang w:val="hy-AM"/>
        </w:rPr>
        <w:t xml:space="preserve"> դրամաշնորհային </w:t>
      </w:r>
      <w:r w:rsidR="0033775C" w:rsidRPr="005C082A">
        <w:rPr>
          <w:rFonts w:cs="Cambria Math"/>
          <w:szCs w:val="24"/>
          <w:lang w:val="hy-AM"/>
        </w:rPr>
        <w:t xml:space="preserve">և վարկային </w:t>
      </w:r>
      <w:r w:rsidRPr="005C082A">
        <w:rPr>
          <w:rFonts w:cs="Cambria Math"/>
          <w:szCs w:val="24"/>
          <w:lang w:val="hy-AM"/>
        </w:rPr>
        <w:t>ծրագրերի</w:t>
      </w:r>
      <w:r w:rsidRPr="005C082A">
        <w:rPr>
          <w:szCs w:val="24"/>
          <w:lang w:val="hy-AM"/>
        </w:rPr>
        <w:t xml:space="preserve">» (այսուհետ՝ Ծրագիր) համապատասխանությունը հաշվեքննության առարկային առնչվող  </w:t>
      </w:r>
      <w:r w:rsidRPr="005C082A">
        <w:rPr>
          <w:color w:val="000000"/>
          <w:szCs w:val="24"/>
          <w:shd w:val="clear" w:color="auto" w:fill="FFFFFF"/>
          <w:lang w:val="hy-AM"/>
        </w:rPr>
        <w:t>իրավական ակտերին, ինչպես նաև քաղաքացիաիրավական հարաբերությունների շրջանակներում կնքված այլ գործարքներով սահմանված չափանիշներին և պահանջներին:</w:t>
      </w:r>
    </w:p>
    <w:p w14:paraId="31570D3A" w14:textId="77777777" w:rsidR="00105F11" w:rsidRPr="005C082A" w:rsidRDefault="00105F11" w:rsidP="000D41BE">
      <w:pPr>
        <w:ind w:firstLine="567"/>
        <w:rPr>
          <w:i/>
          <w:lang w:val="hy-AM"/>
        </w:rPr>
      </w:pPr>
      <w:r w:rsidRPr="005C082A">
        <w:rPr>
          <w:i/>
          <w:lang w:val="hy-AM"/>
        </w:rPr>
        <w:t>Ղեկավարության պատասխանատվությունը խնդրո առարկայի համար</w:t>
      </w:r>
    </w:p>
    <w:p w14:paraId="73A32B68" w14:textId="046BAB22" w:rsidR="00105F11" w:rsidRPr="005C082A" w:rsidRDefault="00313008" w:rsidP="000D41BE">
      <w:pPr>
        <w:ind w:firstLine="567"/>
        <w:rPr>
          <w:lang w:val="hy-AM"/>
        </w:rPr>
      </w:pPr>
      <w:r w:rsidRPr="005C082A">
        <w:rPr>
          <w:lang w:val="hy-AM"/>
        </w:rPr>
        <w:t>Նախարարության</w:t>
      </w:r>
      <w:r w:rsidR="00105F11" w:rsidRPr="005C082A">
        <w:rPr>
          <w:lang w:val="hy-AM"/>
        </w:rPr>
        <w:t xml:space="preserve"> ղեկավարությունը պատասխանատվություն է կրում</w:t>
      </w:r>
      <w:r w:rsidR="000D7B29" w:rsidRPr="005C082A">
        <w:rPr>
          <w:lang w:val="hy-AM"/>
        </w:rPr>
        <w:t xml:space="preserve"> տրամադրված վարկային և դրամաշնորհային միջոցները</w:t>
      </w:r>
      <w:r w:rsidR="00105F11" w:rsidRPr="005C082A">
        <w:rPr>
          <w:lang w:val="hy-AM"/>
        </w:rPr>
        <w:t xml:space="preserve"> </w:t>
      </w:r>
      <w:r w:rsidR="000D7B29" w:rsidRPr="005C082A">
        <w:rPr>
          <w:color w:val="000000"/>
          <w:szCs w:val="24"/>
          <w:shd w:val="clear" w:color="auto" w:fill="FFFFFF"/>
          <w:lang w:val="hy-AM"/>
        </w:rPr>
        <w:t>իրավական ակտերին, ինչպես նաև քաղաքացիաիրավական հարաբերությունների շրջանակներում կնքված այլ գործարքներով սահմանված չափանիշներին և պահանջներին</w:t>
      </w:r>
      <w:r w:rsidR="000D7B29" w:rsidRPr="005C082A">
        <w:rPr>
          <w:lang w:val="hy-AM"/>
        </w:rPr>
        <w:t xml:space="preserve"> համապատասխան</w:t>
      </w:r>
      <w:r w:rsidR="00105F11" w:rsidRPr="005C082A">
        <w:rPr>
          <w:lang w:val="hy-AM"/>
        </w:rPr>
        <w:t xml:space="preserve"> օգտագործման համար: </w:t>
      </w:r>
    </w:p>
    <w:p w14:paraId="0745A063" w14:textId="77777777" w:rsidR="00EA4EB8" w:rsidRPr="005C082A" w:rsidRDefault="00EA4EB8" w:rsidP="000D41BE">
      <w:pPr>
        <w:ind w:firstLine="567"/>
        <w:rPr>
          <w:i/>
          <w:szCs w:val="24"/>
          <w:lang w:val="hy-AM"/>
        </w:rPr>
      </w:pPr>
      <w:r w:rsidRPr="005C082A">
        <w:rPr>
          <w:i/>
          <w:szCs w:val="24"/>
          <w:lang w:val="hy-AM"/>
        </w:rPr>
        <w:t>Հաշվեքննողի պատասխանատվությունը</w:t>
      </w:r>
    </w:p>
    <w:p w14:paraId="15269F7A" w14:textId="1B905B3D" w:rsidR="00EA4EB8" w:rsidRPr="005C082A" w:rsidRDefault="00EA4EB8" w:rsidP="000D41BE">
      <w:pPr>
        <w:ind w:firstLine="567"/>
        <w:rPr>
          <w:szCs w:val="24"/>
          <w:lang w:val="hy-AM"/>
        </w:rPr>
      </w:pPr>
      <w:r w:rsidRPr="005C082A">
        <w:rPr>
          <w:szCs w:val="24"/>
          <w:lang w:val="hy-AM"/>
        </w:rPr>
        <w:t xml:space="preserve">Մեր պատասխանատվությունն է անցկացված հաշվեքննության արդյունքում արտահայտել կարծիք Ծրագրի իրականացման վերաբերյալ: </w:t>
      </w:r>
      <w:r w:rsidR="0033775C" w:rsidRPr="005C082A">
        <w:rPr>
          <w:lang w:val="hy-AM"/>
        </w:rPr>
        <w:t>Մենք հաշվեքննությունն անցկացրեցինք Հաշվեքննիչ պալատի մասին ՀՀ օրենքի, Հաշվեքննության Բարձրագույն Մարմնի Միջազգային Ստանդարտներին համապատասխան մշակված </w:t>
      </w:r>
      <w:r w:rsidR="00A63B85" w:rsidRPr="005C082A">
        <w:rPr>
          <w:lang w:val="hy-AM"/>
        </w:rPr>
        <w:t>Հ</w:t>
      </w:r>
      <w:r w:rsidR="0033775C" w:rsidRPr="005C082A">
        <w:rPr>
          <w:lang w:val="hy-AM"/>
        </w:rPr>
        <w:t xml:space="preserve">ամապատասխանության </w:t>
      </w:r>
      <w:r w:rsidR="00A63B85" w:rsidRPr="005C082A">
        <w:rPr>
          <w:lang w:val="hy-AM"/>
        </w:rPr>
        <w:t xml:space="preserve">հաշվեքննության </w:t>
      </w:r>
      <w:r w:rsidR="0033775C" w:rsidRPr="005C082A">
        <w:rPr>
          <w:lang w:val="hy-AM"/>
        </w:rPr>
        <w:t>մեթոդաբանության համաձայն:</w:t>
      </w:r>
      <w:r w:rsidRPr="005C082A">
        <w:rPr>
          <w:szCs w:val="24"/>
          <w:lang w:val="hy-AM"/>
        </w:rPr>
        <w:t xml:space="preserve"> Այդ մեթոդաբանությամբ պահանջվում է, որ մենք </w:t>
      </w:r>
      <w:r w:rsidR="0033775C" w:rsidRPr="005C082A">
        <w:rPr>
          <w:lang w:val="hy-AM"/>
        </w:rPr>
        <w:t>հետևենք վարքագծի սկզբունքների պահանջներին և</w:t>
      </w:r>
      <w:r w:rsidR="0033775C" w:rsidRPr="005C082A">
        <w:rPr>
          <w:szCs w:val="24"/>
          <w:lang w:val="hy-AM"/>
        </w:rPr>
        <w:t xml:space="preserve"> </w:t>
      </w:r>
      <w:r w:rsidRPr="005C082A">
        <w:rPr>
          <w:szCs w:val="24"/>
          <w:lang w:val="hy-AM"/>
        </w:rPr>
        <w:t xml:space="preserve">հաշվեքննությունը պլանավորենք և իրականացնենք այնպես, որպեսզի ձեռք բերենք ողջամիտ երաշխիք, որ Ծրագրի իրականացումը զերծ է էական անհամապատասխանություններից: </w:t>
      </w:r>
    </w:p>
    <w:p w14:paraId="05C0D6ED" w14:textId="1532D3F2" w:rsidR="00EA4EB8" w:rsidRPr="005C082A" w:rsidRDefault="00EA4EB8" w:rsidP="000D41BE">
      <w:pPr>
        <w:spacing w:before="0" w:after="0"/>
        <w:ind w:firstLine="567"/>
        <w:rPr>
          <w:szCs w:val="24"/>
          <w:lang w:val="hy-AM"/>
        </w:rPr>
      </w:pPr>
      <w:r w:rsidRPr="005C082A">
        <w:rPr>
          <w:szCs w:val="24"/>
          <w:lang w:val="hy-AM"/>
        </w:rPr>
        <w:t xml:space="preserve">Հաշվեքննության աշխատանքները ներառում են Ծրագրի իրականացման վերաբերյալ հաշվեքննության ապացույցի ձեռքբերում: Հաշվեքննության </w:t>
      </w:r>
      <w:r w:rsidRPr="005C082A">
        <w:rPr>
          <w:szCs w:val="24"/>
          <w:lang w:val="hy-AM"/>
        </w:rPr>
        <w:lastRenderedPageBreak/>
        <w:t xml:space="preserve">ընթացակարգերի ընտրությունը կախված է հաշվեքննողի դատողությունից, ներառյալ՝ </w:t>
      </w:r>
      <w:r w:rsidR="002568C8" w:rsidRPr="005C082A">
        <w:rPr>
          <w:lang w:val="hy-AM"/>
        </w:rPr>
        <w:t>հանցագործության առերևույթ հատկանիշների</w:t>
      </w:r>
      <w:r w:rsidR="002568C8" w:rsidRPr="005C082A" w:rsidDel="002568C8">
        <w:rPr>
          <w:szCs w:val="24"/>
          <w:lang w:val="hy-AM"/>
        </w:rPr>
        <w:t xml:space="preserve"> </w:t>
      </w:r>
      <w:r w:rsidRPr="005C082A">
        <w:rPr>
          <w:szCs w:val="24"/>
          <w:lang w:val="hy-AM"/>
        </w:rPr>
        <w:t>կամ սխալի հետևանքով վարկային և դրամաշնորհային միջոցների օգտագործման էական անհամապատասխանությունների ռիսկերի գնահատումը: Ռիսկերի նման գնահատում իրականացնելիս հաշվեքննողը դիտարկում է ներքին հսկողության համակարգը՝ կապված Ծրագրի իրականացման հետ՝ կազմելու տվյալ հանգամանքներին համապատասխան հաշվեքննության ընթացակարգեր, սակայն ոչ ներքին հսկողության համակարգի արդյունավետության վերաբերյալ կարծիք արտահայտելու նպատակով:</w:t>
      </w:r>
    </w:p>
    <w:p w14:paraId="52020023" w14:textId="45B8594C" w:rsidR="00EA4EB8" w:rsidRPr="005C082A" w:rsidRDefault="00EA4EB8" w:rsidP="000D41BE">
      <w:pPr>
        <w:ind w:firstLine="567"/>
        <w:rPr>
          <w:szCs w:val="24"/>
          <w:lang w:val="hy-AM"/>
        </w:rPr>
      </w:pPr>
      <w:r w:rsidRPr="005C082A">
        <w:rPr>
          <w:szCs w:val="24"/>
          <w:lang w:val="hy-AM"/>
        </w:rPr>
        <w:t>Մենք գտնում ենք, որ ձեռք են բեր</w:t>
      </w:r>
      <w:r w:rsidR="001E1EE0" w:rsidRPr="005C082A">
        <w:rPr>
          <w:szCs w:val="24"/>
          <w:lang w:val="hy-AM"/>
        </w:rPr>
        <w:t>վ</w:t>
      </w:r>
      <w:r w:rsidRPr="005C082A">
        <w:rPr>
          <w:szCs w:val="24"/>
          <w:lang w:val="hy-AM"/>
        </w:rPr>
        <w:t xml:space="preserve">ել բավարար համապատասխան հաշվեքննության ապացույցներ մեր </w:t>
      </w:r>
      <w:r w:rsidR="00F3764C" w:rsidRPr="005C082A">
        <w:rPr>
          <w:szCs w:val="24"/>
          <w:lang w:val="hy-AM"/>
        </w:rPr>
        <w:t xml:space="preserve">կարծիքը </w:t>
      </w:r>
      <w:r w:rsidRPr="005C082A">
        <w:rPr>
          <w:szCs w:val="24"/>
          <w:lang w:val="hy-AM"/>
        </w:rPr>
        <w:t>հիմնավորելու համար:</w:t>
      </w:r>
    </w:p>
    <w:p w14:paraId="31CC27D7" w14:textId="594D0E39" w:rsidR="00EA4EB8" w:rsidRPr="005C082A" w:rsidRDefault="00F3764C" w:rsidP="000D41BE">
      <w:pPr>
        <w:ind w:firstLine="567"/>
        <w:rPr>
          <w:i/>
          <w:szCs w:val="24"/>
          <w:lang w:val="hy-AM"/>
        </w:rPr>
      </w:pPr>
      <w:r w:rsidRPr="005C082A">
        <w:rPr>
          <w:i/>
          <w:szCs w:val="24"/>
          <w:lang w:val="hy-AM"/>
        </w:rPr>
        <w:t>Ո</w:t>
      </w:r>
      <w:r w:rsidR="00EA4EB8" w:rsidRPr="005C082A">
        <w:rPr>
          <w:i/>
          <w:szCs w:val="24"/>
          <w:lang w:val="hy-AM"/>
        </w:rPr>
        <w:t>չ լիարժեք եզրահանգման հիմք</w:t>
      </w:r>
    </w:p>
    <w:p w14:paraId="002136E1" w14:textId="6ACDC8F4" w:rsidR="00EA4EB8" w:rsidRPr="005C082A" w:rsidRDefault="00EA4EB8" w:rsidP="000D41BE">
      <w:pPr>
        <w:ind w:firstLine="567"/>
        <w:rPr>
          <w:szCs w:val="24"/>
          <w:lang w:val="hy-AM"/>
        </w:rPr>
      </w:pPr>
      <w:r w:rsidRPr="00736FA2">
        <w:rPr>
          <w:szCs w:val="24"/>
          <w:lang w:val="hy-AM"/>
        </w:rPr>
        <w:t>Ինչպես նկարագրված է հաշվեքննության ընթացիկ եզրակացության «Անհամապատասխանությունների վերաբերյալ գրառումներ»</w:t>
      </w:r>
      <w:r w:rsidR="00FD1F0A" w:rsidRPr="00736FA2">
        <w:rPr>
          <w:szCs w:val="24"/>
          <w:lang w:val="hy-AM"/>
        </w:rPr>
        <w:t xml:space="preserve"> և «Խեղաթյուրումների մասին գրառումներ»</w:t>
      </w:r>
      <w:r w:rsidRPr="00736FA2">
        <w:rPr>
          <w:szCs w:val="24"/>
          <w:lang w:val="hy-AM"/>
        </w:rPr>
        <w:t xml:space="preserve"> բաժ</w:t>
      </w:r>
      <w:r w:rsidR="00FD1F0A" w:rsidRPr="00736FA2">
        <w:rPr>
          <w:szCs w:val="24"/>
          <w:lang w:val="hy-AM"/>
        </w:rPr>
        <w:t>իններ</w:t>
      </w:r>
      <w:r w:rsidRPr="00736FA2">
        <w:rPr>
          <w:szCs w:val="24"/>
          <w:lang w:val="hy-AM"/>
        </w:rPr>
        <w:t xml:space="preserve">ում, </w:t>
      </w:r>
      <w:r w:rsidR="000D5D56" w:rsidRPr="00736FA2">
        <w:rPr>
          <w:szCs w:val="24"/>
          <w:lang w:val="hy-AM"/>
        </w:rPr>
        <w:t xml:space="preserve">Նախարարությունը </w:t>
      </w:r>
      <w:r w:rsidR="006106FE" w:rsidRPr="00650A93">
        <w:rPr>
          <w:szCs w:val="24"/>
          <w:lang w:val="hy-AM"/>
        </w:rPr>
        <w:t>Ճանապարհային ցանցի բարելավման դրամաշնորհային և վարկային ծրագրերն</w:t>
      </w:r>
      <w:r w:rsidRPr="00736FA2">
        <w:rPr>
          <w:szCs w:val="24"/>
          <w:lang w:val="hy-AM"/>
        </w:rPr>
        <w:t xml:space="preserve"> իրականացրել է </w:t>
      </w:r>
      <w:r w:rsidR="005A7D29" w:rsidRPr="00736FA2">
        <w:rPr>
          <w:szCs w:val="24"/>
          <w:lang w:val="hy-AM"/>
        </w:rPr>
        <w:t>ՀՀՇՆ IV-11.05.02-99-ի 8.14 և 15.</w:t>
      </w:r>
      <w:r w:rsidR="005A7D29" w:rsidRPr="00736FA2">
        <w:rPr>
          <w:szCs w:val="24"/>
          <w:lang w:val="fr-FR"/>
        </w:rPr>
        <w:t xml:space="preserve">3 </w:t>
      </w:r>
      <w:r w:rsidR="005A7D29" w:rsidRPr="00736FA2">
        <w:rPr>
          <w:szCs w:val="24"/>
          <w:lang w:val="hy-AM"/>
        </w:rPr>
        <w:t>կետերի</w:t>
      </w:r>
      <w:r w:rsidR="005A7D29" w:rsidRPr="00736FA2">
        <w:rPr>
          <w:szCs w:val="24"/>
          <w:lang w:val="fr-FR"/>
        </w:rPr>
        <w:t xml:space="preserve">, </w:t>
      </w:r>
      <w:r w:rsidR="005A7D29" w:rsidRPr="00736FA2">
        <w:rPr>
          <w:szCs w:val="24"/>
          <w:lang w:val="hy-AM"/>
        </w:rPr>
        <w:t>N M6-ICB/CW-01-1</w:t>
      </w:r>
      <w:r w:rsidR="00D875AF" w:rsidRPr="00736FA2">
        <w:rPr>
          <w:szCs w:val="24"/>
          <w:lang w:val="hy-AM"/>
        </w:rPr>
        <w:t>,</w:t>
      </w:r>
      <w:r w:rsidR="005A7D29" w:rsidRPr="00736FA2">
        <w:rPr>
          <w:szCs w:val="24"/>
          <w:lang w:val="hy-AM"/>
        </w:rPr>
        <w:t xml:space="preserve"> N M6-ICB/CW-01-2 </w:t>
      </w:r>
      <w:r w:rsidR="00133539" w:rsidRPr="00650A93">
        <w:rPr>
          <w:szCs w:val="24"/>
          <w:lang w:val="hy-AM"/>
        </w:rPr>
        <w:t>և</w:t>
      </w:r>
      <w:r w:rsidR="005A7D29" w:rsidRPr="00736FA2">
        <w:rPr>
          <w:szCs w:val="24"/>
          <w:lang w:val="hy-AM"/>
        </w:rPr>
        <w:t xml:space="preserve"> M6</w:t>
      </w:r>
      <w:r w:rsidR="00133539" w:rsidRPr="00650A93">
        <w:rPr>
          <w:szCs w:val="24"/>
          <w:lang w:val="hy-AM"/>
        </w:rPr>
        <w:t>-</w:t>
      </w:r>
      <w:r w:rsidR="005A7D29" w:rsidRPr="00736FA2">
        <w:rPr>
          <w:szCs w:val="24"/>
          <w:lang w:val="hy-AM"/>
        </w:rPr>
        <w:t xml:space="preserve">ICB/CW-01-3 </w:t>
      </w:r>
      <w:r w:rsidR="00986AF0" w:rsidRPr="00736FA2">
        <w:rPr>
          <w:szCs w:val="24"/>
          <w:lang w:val="hy-AM"/>
        </w:rPr>
        <w:t>պայմանագր</w:t>
      </w:r>
      <w:r w:rsidR="00133539" w:rsidRPr="00650A93">
        <w:rPr>
          <w:szCs w:val="24"/>
          <w:lang w:val="hy-AM"/>
        </w:rPr>
        <w:t>եր</w:t>
      </w:r>
      <w:r w:rsidR="005A7D29" w:rsidRPr="00736FA2">
        <w:rPr>
          <w:szCs w:val="24"/>
          <w:lang w:val="hy-AM"/>
        </w:rPr>
        <w:t>ի ՊԸՊ 37.1 կետ</w:t>
      </w:r>
      <w:r w:rsidR="00133539" w:rsidRPr="00650A93">
        <w:rPr>
          <w:szCs w:val="24"/>
          <w:lang w:val="hy-AM"/>
        </w:rPr>
        <w:t>եր</w:t>
      </w:r>
      <w:r w:rsidR="005A7D29" w:rsidRPr="00736FA2">
        <w:rPr>
          <w:szCs w:val="24"/>
          <w:lang w:val="hy-AM"/>
        </w:rPr>
        <w:t>ի,</w:t>
      </w:r>
      <w:r w:rsidR="00736FA2" w:rsidRPr="00736FA2">
        <w:rPr>
          <w:szCs w:val="24"/>
          <w:lang w:val="hy-AM"/>
        </w:rPr>
        <w:t xml:space="preserve"> N</w:t>
      </w:r>
      <w:r w:rsidR="00736FA2" w:rsidRPr="00650A93">
        <w:rPr>
          <w:szCs w:val="24"/>
          <w:lang w:val="hy-AM"/>
        </w:rPr>
        <w:t xml:space="preserve"> </w:t>
      </w:r>
      <w:r w:rsidR="00133539" w:rsidRPr="00650A93">
        <w:rPr>
          <w:szCs w:val="24"/>
          <w:lang w:val="hy-AM"/>
        </w:rPr>
        <w:t xml:space="preserve">M6-ICB/CW-01-2 պայմանագրի ՊԸՊ և ՊՀՊ 3.1 կետերի, </w:t>
      </w:r>
      <w:r w:rsidR="00E93DE9" w:rsidRPr="00736FA2">
        <w:rPr>
          <w:b/>
          <w:i/>
          <w:szCs w:val="24"/>
          <w:lang w:val="hy-AM"/>
        </w:rPr>
        <w:t>«</w:t>
      </w:r>
      <w:r w:rsidR="00E93DE9" w:rsidRPr="00736FA2">
        <w:rPr>
          <w:szCs w:val="24"/>
          <w:lang w:val="hy-AM"/>
        </w:rPr>
        <w:t>Ավտոմոբիլային ճանապարհների մասին» ՀՀ օրենքի 12-րդ հոդվածի 3-րդ մասի,</w:t>
      </w:r>
      <w:r w:rsidR="00E93DE9" w:rsidRPr="00736FA2">
        <w:rPr>
          <w:szCs w:val="24"/>
          <w:lang w:val="fr-FR"/>
        </w:rPr>
        <w:t xml:space="preserve"> ՀՀ ֆինանսների նախարարի 2014 թվականի հոկտեմբերի 24-ի թիվ 725-Ն հրամանով հաստատված «ՀՀ հանրային հատվածի հաշապահական հաշվառման ստանդարտի» 11.11.-11.16 պարագրաֆներով սահմանված </w:t>
      </w:r>
      <w:r w:rsidR="00E93DE9" w:rsidRPr="00736FA2">
        <w:rPr>
          <w:szCs w:val="24"/>
          <w:lang w:val="hy-AM"/>
        </w:rPr>
        <w:t>պահանջների նկատմամբ անհամապատասխանություններ</w:t>
      </w:r>
      <w:r w:rsidR="00133539" w:rsidRPr="00650A93">
        <w:rPr>
          <w:szCs w:val="24"/>
          <w:lang w:val="hy-AM"/>
        </w:rPr>
        <w:t xml:space="preserve">ով, որոնցից վերջին երեք անհամապատասխանությունները </w:t>
      </w:r>
      <w:r w:rsidR="00E93DE9" w:rsidRPr="00736FA2">
        <w:rPr>
          <w:szCs w:val="24"/>
          <w:lang w:val="hy-AM"/>
        </w:rPr>
        <w:t xml:space="preserve">հանգեցրել են </w:t>
      </w:r>
      <w:r w:rsidR="00E93DE9" w:rsidRPr="00736FA2">
        <w:rPr>
          <w:b/>
          <w:i/>
          <w:szCs w:val="24"/>
          <w:u w:val="single"/>
          <w:lang w:val="hy-AM"/>
        </w:rPr>
        <w:t>20,662,484.89 հազ. դրամի</w:t>
      </w:r>
      <w:r w:rsidR="00E93DE9" w:rsidRPr="00736FA2">
        <w:rPr>
          <w:szCs w:val="24"/>
          <w:lang w:val="hy-AM"/>
        </w:rPr>
        <w:t xml:space="preserve"> խեղաթյուրման</w:t>
      </w:r>
      <w:r w:rsidR="009E2431" w:rsidRPr="00736FA2">
        <w:rPr>
          <w:szCs w:val="24"/>
          <w:lang w:val="hy-AM"/>
        </w:rPr>
        <w:t xml:space="preserve">, որից </w:t>
      </w:r>
      <w:r w:rsidR="009E2431" w:rsidRPr="00736FA2">
        <w:rPr>
          <w:b/>
          <w:i/>
          <w:szCs w:val="24"/>
          <w:u w:val="single"/>
          <w:lang w:val="fr-FR"/>
        </w:rPr>
        <w:t xml:space="preserve">19,356,173.9 </w:t>
      </w:r>
      <w:r w:rsidR="009E2431" w:rsidRPr="00736FA2">
        <w:rPr>
          <w:b/>
          <w:i/>
          <w:szCs w:val="24"/>
          <w:u w:val="single"/>
          <w:lang w:val="hy-AM"/>
        </w:rPr>
        <w:t>հազ</w:t>
      </w:r>
      <w:r w:rsidR="009E2431" w:rsidRPr="00736FA2">
        <w:rPr>
          <w:b/>
          <w:i/>
          <w:szCs w:val="24"/>
          <w:u w:val="single"/>
          <w:lang w:val="fr-FR"/>
        </w:rPr>
        <w:t xml:space="preserve">. </w:t>
      </w:r>
      <w:proofErr w:type="gramStart"/>
      <w:r w:rsidR="009E2431" w:rsidRPr="00736FA2">
        <w:rPr>
          <w:b/>
          <w:i/>
          <w:szCs w:val="24"/>
          <w:u w:val="single"/>
          <w:lang w:val="fr-FR"/>
        </w:rPr>
        <w:t>դրամը</w:t>
      </w:r>
      <w:proofErr w:type="gramEnd"/>
      <w:r w:rsidR="009E2431" w:rsidRPr="00736FA2">
        <w:rPr>
          <w:szCs w:val="24"/>
          <w:lang w:val="fr-FR"/>
        </w:rPr>
        <w:t xml:space="preserve"> Միջպետական նշանակության</w:t>
      </w:r>
      <w:r w:rsidR="009E2431" w:rsidRPr="005C082A">
        <w:rPr>
          <w:szCs w:val="24"/>
          <w:lang w:val="fr-FR"/>
        </w:rPr>
        <w:t xml:space="preserve"> ճանապարհի վրա կատարված կապիտալ ծախսումները Նախարարության ֆինանսական վիճակի մասին հաշվետվությունում ասֆալտբետոնե ճանապարհների </w:t>
      </w:r>
      <w:r w:rsidR="009E2431" w:rsidRPr="005C082A">
        <w:rPr>
          <w:szCs w:val="24"/>
          <w:lang w:val="hy-AM"/>
        </w:rPr>
        <w:t>հաշվեկշռային</w:t>
      </w:r>
      <w:r w:rsidR="009E2431" w:rsidRPr="005C082A">
        <w:rPr>
          <w:szCs w:val="24"/>
          <w:lang w:val="fr-FR"/>
        </w:rPr>
        <w:t xml:space="preserve"> </w:t>
      </w:r>
      <w:r w:rsidR="009E2431" w:rsidRPr="005C082A">
        <w:rPr>
          <w:szCs w:val="24"/>
          <w:lang w:val="hy-AM"/>
        </w:rPr>
        <w:t>արժեքին չավելացնելու արդյունքում</w:t>
      </w:r>
      <w:r w:rsidRPr="005C082A">
        <w:rPr>
          <w:szCs w:val="24"/>
          <w:lang w:val="hy-AM"/>
        </w:rPr>
        <w:t xml:space="preserve">։ </w:t>
      </w:r>
    </w:p>
    <w:p w14:paraId="15430C10" w14:textId="3315057B" w:rsidR="00EA4EB8" w:rsidRPr="005C082A" w:rsidRDefault="00F3764C" w:rsidP="000D41BE">
      <w:pPr>
        <w:ind w:firstLine="567"/>
        <w:rPr>
          <w:i/>
          <w:szCs w:val="24"/>
          <w:lang w:val="hy-AM"/>
        </w:rPr>
      </w:pPr>
      <w:r w:rsidRPr="005C082A">
        <w:rPr>
          <w:i/>
          <w:szCs w:val="24"/>
          <w:lang w:val="hy-AM"/>
        </w:rPr>
        <w:t>Ո</w:t>
      </w:r>
      <w:r w:rsidR="00EA4EB8" w:rsidRPr="005C082A">
        <w:rPr>
          <w:i/>
          <w:szCs w:val="24"/>
          <w:lang w:val="hy-AM"/>
        </w:rPr>
        <w:t xml:space="preserve">չ լիարժեք եզրահանգում </w:t>
      </w:r>
    </w:p>
    <w:p w14:paraId="48328FBD" w14:textId="54EC56DC" w:rsidR="00EA4EB8" w:rsidRPr="005C082A" w:rsidRDefault="00EA4EB8" w:rsidP="000D41BE">
      <w:pPr>
        <w:ind w:firstLine="567"/>
        <w:rPr>
          <w:szCs w:val="24"/>
          <w:lang w:val="hy-AM"/>
        </w:rPr>
      </w:pPr>
      <w:r w:rsidRPr="005C082A">
        <w:rPr>
          <w:szCs w:val="24"/>
          <w:lang w:val="hy-AM"/>
        </w:rPr>
        <w:t>Մեր կարծիքով, բացառությամբ </w:t>
      </w:r>
      <w:r w:rsidR="00F3764C" w:rsidRPr="005C082A">
        <w:rPr>
          <w:szCs w:val="24"/>
          <w:lang w:val="hy-AM"/>
        </w:rPr>
        <w:t>Ո</w:t>
      </w:r>
      <w:r w:rsidRPr="005C082A">
        <w:rPr>
          <w:szCs w:val="24"/>
          <w:lang w:val="hy-AM"/>
        </w:rPr>
        <w:t xml:space="preserve">չ լիարժեք եզրահանգման հիմք պարագրաֆում նկարագրված հարցի հնարավոր ազդեցության, 2017-2019 թվականների ընթացքում ծրագրի իրականացումը բոլոր էական առումներով համապատասխանում է հաշվեքննության առարկային առնչվող </w:t>
      </w:r>
      <w:r w:rsidRPr="005C082A">
        <w:rPr>
          <w:color w:val="000000"/>
          <w:szCs w:val="24"/>
          <w:shd w:val="clear" w:color="auto" w:fill="FFFFFF"/>
          <w:lang w:val="hy-AM"/>
        </w:rPr>
        <w:t xml:space="preserve">իրավական </w:t>
      </w:r>
      <w:r w:rsidRPr="005C082A">
        <w:rPr>
          <w:color w:val="000000"/>
          <w:szCs w:val="24"/>
          <w:shd w:val="clear" w:color="auto" w:fill="FFFFFF"/>
          <w:lang w:val="hy-AM"/>
        </w:rPr>
        <w:lastRenderedPageBreak/>
        <w:t>ակտերին, ինչպես նաև քաղաքացիաիրավական հարաբերությունների շրջանակներում կնքված այլ գործարքներով սահմանված չափանիշներին և պահանջներին:</w:t>
      </w:r>
    </w:p>
    <w:p w14:paraId="4B7F7899" w14:textId="77777777" w:rsidR="00EA4EB8" w:rsidRPr="005C082A" w:rsidRDefault="00EA4EB8" w:rsidP="00EA4EB8">
      <w:pPr>
        <w:ind w:left="360" w:firstLine="0"/>
        <w:rPr>
          <w:szCs w:val="24"/>
          <w:lang w:val="hy-AM"/>
        </w:rPr>
      </w:pPr>
    </w:p>
    <w:p w14:paraId="7442761F" w14:textId="77777777" w:rsidR="00EA4EB8" w:rsidRPr="005C082A" w:rsidRDefault="00EA4EB8" w:rsidP="00EA4EB8">
      <w:pPr>
        <w:ind w:left="360" w:firstLine="0"/>
        <w:rPr>
          <w:szCs w:val="24"/>
          <w:lang w:val="hy-AM"/>
        </w:rPr>
      </w:pPr>
    </w:p>
    <w:p w14:paraId="34BA7CB9" w14:textId="77777777" w:rsidR="00EA4EB8" w:rsidRPr="005C082A" w:rsidRDefault="00EA4EB8" w:rsidP="00EA4EB8">
      <w:pPr>
        <w:ind w:left="360" w:firstLine="0"/>
        <w:rPr>
          <w:szCs w:val="24"/>
          <w:lang w:val="hy-AM"/>
        </w:rPr>
      </w:pPr>
      <w:r w:rsidRPr="005C082A">
        <w:rPr>
          <w:szCs w:val="24"/>
          <w:lang w:val="hy-AM"/>
        </w:rPr>
        <w:t>Կարեն Առուստամյան</w:t>
      </w:r>
    </w:p>
    <w:p w14:paraId="714F899D" w14:textId="77777777" w:rsidR="00EA4EB8" w:rsidRPr="005C082A" w:rsidRDefault="00EA4EB8" w:rsidP="00EA4EB8">
      <w:pPr>
        <w:ind w:left="360" w:firstLine="0"/>
        <w:rPr>
          <w:szCs w:val="24"/>
          <w:lang w:val="hy-AM"/>
        </w:rPr>
      </w:pPr>
    </w:p>
    <w:p w14:paraId="135F4605" w14:textId="521CD585" w:rsidR="00EA4EB8" w:rsidRPr="005C082A" w:rsidRDefault="00EA4EB8" w:rsidP="006F1B3B">
      <w:pPr>
        <w:ind w:left="360" w:firstLine="0"/>
        <w:rPr>
          <w:szCs w:val="24"/>
          <w:lang w:val="hy-AM"/>
        </w:rPr>
      </w:pPr>
      <w:r w:rsidRPr="005C082A">
        <w:rPr>
          <w:szCs w:val="24"/>
          <w:lang w:val="hy-AM"/>
        </w:rPr>
        <w:t xml:space="preserve">ՀՀ </w:t>
      </w:r>
      <w:r w:rsidR="00B973C2" w:rsidRPr="005C082A">
        <w:rPr>
          <w:szCs w:val="24"/>
          <w:lang w:val="hy-AM"/>
        </w:rPr>
        <w:t>հ</w:t>
      </w:r>
      <w:r w:rsidRPr="005C082A">
        <w:rPr>
          <w:szCs w:val="24"/>
          <w:lang w:val="hy-AM"/>
        </w:rPr>
        <w:t xml:space="preserve">աշվեքննիչ </w:t>
      </w:r>
      <w:r w:rsidR="00B973C2" w:rsidRPr="005C082A">
        <w:rPr>
          <w:szCs w:val="24"/>
          <w:lang w:val="hy-AM"/>
        </w:rPr>
        <w:t>պ</w:t>
      </w:r>
      <w:r w:rsidRPr="005C082A">
        <w:rPr>
          <w:szCs w:val="24"/>
          <w:lang w:val="hy-AM"/>
        </w:rPr>
        <w:t>ալատի անդամ</w:t>
      </w:r>
    </w:p>
    <w:p w14:paraId="036B642C" w14:textId="235D9924" w:rsidR="006C6E00" w:rsidRPr="005C082A" w:rsidRDefault="009A2664" w:rsidP="006F1B3B">
      <w:pPr>
        <w:ind w:left="360" w:firstLine="348"/>
        <w:rPr>
          <w:szCs w:val="24"/>
          <w:lang w:val="hy-AM"/>
        </w:rPr>
      </w:pPr>
      <w:r w:rsidRPr="00FF16B1">
        <w:rPr>
          <w:szCs w:val="24"/>
          <w:lang w:val="hy-AM"/>
        </w:rPr>
        <w:t xml:space="preserve">28 </w:t>
      </w:r>
      <w:r w:rsidR="004B29C7" w:rsidRPr="005C082A">
        <w:rPr>
          <w:szCs w:val="24"/>
          <w:lang w:val="hy-AM"/>
        </w:rPr>
        <w:t>փետրվար 2023 թվական</w:t>
      </w:r>
    </w:p>
    <w:p w14:paraId="14A66F4C" w14:textId="77777777" w:rsidR="006C6E00" w:rsidRPr="003810E9" w:rsidRDefault="006C6E00">
      <w:pPr>
        <w:spacing w:before="0" w:after="0"/>
        <w:ind w:firstLine="709"/>
        <w:rPr>
          <w:rFonts w:cs="Sylfaen"/>
          <w:szCs w:val="24"/>
          <w:lang w:val="hy-AM"/>
        </w:rPr>
      </w:pPr>
      <w:r w:rsidRPr="005C082A">
        <w:rPr>
          <w:rFonts w:cs="Sylfaen"/>
          <w:szCs w:val="24"/>
          <w:lang w:val="hy-AM"/>
        </w:rPr>
        <w:t>ՀՀ հաշվեքննիչ պալատ</w:t>
      </w:r>
      <w:r w:rsidRPr="00650A93">
        <w:rPr>
          <w:rFonts w:cs="Cambria Math"/>
          <w:szCs w:val="24"/>
          <w:lang w:val="hy-AM"/>
        </w:rPr>
        <w:t>,</w:t>
      </w:r>
    </w:p>
    <w:p w14:paraId="5008832F" w14:textId="24F3178A" w:rsidR="006C6E00" w:rsidRPr="005C082A" w:rsidRDefault="00320F87">
      <w:pPr>
        <w:spacing w:before="0" w:after="0"/>
        <w:ind w:firstLine="709"/>
        <w:rPr>
          <w:rFonts w:cs="Sylfaen"/>
          <w:szCs w:val="24"/>
          <w:lang w:val="hy-AM"/>
        </w:rPr>
      </w:pPr>
      <w:r w:rsidRPr="005C082A">
        <w:rPr>
          <w:rFonts w:cs="Sylfaen"/>
          <w:szCs w:val="24"/>
          <w:lang w:val="hy-AM"/>
        </w:rPr>
        <w:t xml:space="preserve">Մ. </w:t>
      </w:r>
      <w:r w:rsidR="006C6E00" w:rsidRPr="005C082A">
        <w:rPr>
          <w:rFonts w:cs="Sylfaen"/>
          <w:szCs w:val="24"/>
          <w:lang w:val="hy-AM"/>
        </w:rPr>
        <w:t>Բաղրամյան 19</w:t>
      </w:r>
      <w:r w:rsidRPr="005C082A">
        <w:rPr>
          <w:rFonts w:cs="Sylfaen"/>
          <w:szCs w:val="24"/>
          <w:lang w:val="hy-AM"/>
        </w:rPr>
        <w:t>,</w:t>
      </w:r>
      <w:r w:rsidR="006C6E00" w:rsidRPr="005C082A">
        <w:rPr>
          <w:rFonts w:cs="Sylfaen"/>
          <w:szCs w:val="24"/>
          <w:lang w:val="hy-AM"/>
        </w:rPr>
        <w:t xml:space="preserve"> ք.</w:t>
      </w:r>
      <w:r w:rsidR="006C6E00" w:rsidRPr="005C082A">
        <w:rPr>
          <w:rFonts w:eastAsia="MS Mincho" w:cs="MS Mincho"/>
          <w:szCs w:val="24"/>
          <w:lang w:val="hy-AM"/>
        </w:rPr>
        <w:t xml:space="preserve"> </w:t>
      </w:r>
      <w:r w:rsidR="006C6E00" w:rsidRPr="005C082A">
        <w:rPr>
          <w:rFonts w:cs="Sylfaen"/>
          <w:szCs w:val="24"/>
          <w:lang w:val="hy-AM"/>
        </w:rPr>
        <w:t>Երևան</w:t>
      </w:r>
      <w:r w:rsidRPr="005C082A">
        <w:rPr>
          <w:rFonts w:cs="Sylfaen"/>
          <w:szCs w:val="24"/>
          <w:lang w:val="hy-AM"/>
        </w:rPr>
        <w:t>,</w:t>
      </w:r>
      <w:r w:rsidR="006C6E00" w:rsidRPr="005C082A">
        <w:rPr>
          <w:rFonts w:cs="Sylfaen"/>
          <w:szCs w:val="24"/>
          <w:lang w:val="hy-AM"/>
        </w:rPr>
        <w:t xml:space="preserve"> </w:t>
      </w:r>
    </w:p>
    <w:p w14:paraId="236EC8BE" w14:textId="4550A785" w:rsidR="00AC7646" w:rsidRPr="005C082A" w:rsidRDefault="006C6E00">
      <w:pPr>
        <w:ind w:left="360" w:firstLine="348"/>
        <w:rPr>
          <w:szCs w:val="24"/>
          <w:lang w:val="hy-AM"/>
        </w:rPr>
      </w:pPr>
      <w:r w:rsidRPr="005C082A">
        <w:rPr>
          <w:rFonts w:cs="Sylfaen"/>
          <w:szCs w:val="24"/>
          <w:lang w:val="hy-AM"/>
        </w:rPr>
        <w:t>Հայաստանի Հանրապետություն</w:t>
      </w:r>
      <w:r w:rsidRPr="005C082A">
        <w:rPr>
          <w:bCs/>
          <w:iCs/>
          <w:szCs w:val="24"/>
          <w:shd w:val="clear" w:color="auto" w:fill="FFFFFF" w:themeFill="background1"/>
          <w:lang w:val="hy-AM"/>
        </w:rPr>
        <w:t xml:space="preserve"> </w:t>
      </w:r>
      <w:r w:rsidR="00AC7646" w:rsidRPr="005C082A">
        <w:rPr>
          <w:bCs/>
          <w:iCs/>
          <w:szCs w:val="24"/>
          <w:shd w:val="clear" w:color="auto" w:fill="FFFFFF" w:themeFill="background1"/>
          <w:lang w:val="hy-AM"/>
        </w:rPr>
        <w:br w:type="page"/>
      </w:r>
    </w:p>
    <w:p w14:paraId="5F6776EF" w14:textId="045EB671" w:rsidR="003333AA" w:rsidRPr="005C082A" w:rsidRDefault="00110992" w:rsidP="008D65F5">
      <w:pPr>
        <w:pStyle w:val="Heading1"/>
        <w:rPr>
          <w:lang w:val="hy-AM"/>
        </w:rPr>
      </w:pPr>
      <w:bookmarkStart w:id="9" w:name="_Toc125128523"/>
      <w:bookmarkStart w:id="10" w:name="_Toc127462665"/>
      <w:bookmarkStart w:id="11" w:name="_Toc128393696"/>
      <w:bookmarkEnd w:id="9"/>
      <w:r w:rsidRPr="005C082A">
        <w:rPr>
          <w:lang w:val="hy-AM"/>
        </w:rPr>
        <w:lastRenderedPageBreak/>
        <w:t>ԱՆՀԱՄԱՊԱՏԱՍԽԱՆՈՒԹՅՈՒՆՆԵՐԻ ՎԵՐԱԲԵՐՅԱԼ ԳՐԱՌՈՒՄՆԵՐ</w:t>
      </w:r>
      <w:bookmarkEnd w:id="10"/>
      <w:bookmarkEnd w:id="11"/>
    </w:p>
    <w:p w14:paraId="2CE01164" w14:textId="0D96E70D" w:rsidR="005D44B2" w:rsidRPr="005C082A" w:rsidRDefault="009E7E12" w:rsidP="00CB7FEB">
      <w:pPr>
        <w:spacing w:after="0"/>
        <w:ind w:firstLine="567"/>
        <w:contextualSpacing/>
        <w:rPr>
          <w:b/>
          <w:i/>
          <w:szCs w:val="24"/>
          <w:lang w:val="hy-AM"/>
        </w:rPr>
      </w:pPr>
      <w:r w:rsidRPr="005C082A">
        <w:rPr>
          <w:b/>
          <w:i/>
          <w:szCs w:val="24"/>
          <w:lang w:val="hy-AM"/>
        </w:rPr>
        <w:t>5</w:t>
      </w:r>
      <w:r w:rsidR="005D44B2" w:rsidRPr="005C082A">
        <w:rPr>
          <w:b/>
          <w:i/>
          <w:szCs w:val="24"/>
          <w:lang w:val="hy-AM"/>
        </w:rPr>
        <w:t>.1. Առկա է անհամապատասխանություն ՀՀՇՆ IV-11.05.02-99-ի (ավտոմոբիլային ճանապարհներ) 15.</w:t>
      </w:r>
      <w:r w:rsidR="005D44B2" w:rsidRPr="005C082A">
        <w:rPr>
          <w:b/>
          <w:i/>
          <w:szCs w:val="24"/>
          <w:lang w:val="fr-FR"/>
        </w:rPr>
        <w:t xml:space="preserve">3 </w:t>
      </w:r>
      <w:r w:rsidR="005D44B2" w:rsidRPr="005C082A">
        <w:rPr>
          <w:b/>
          <w:i/>
          <w:szCs w:val="24"/>
          <w:lang w:val="hy-AM"/>
        </w:rPr>
        <w:t>կետի պահանջի հետ։</w:t>
      </w:r>
    </w:p>
    <w:p w14:paraId="2B07ECFD" w14:textId="77777777" w:rsidR="005D44B2" w:rsidRPr="005C082A" w:rsidRDefault="005D44B2" w:rsidP="00CB7FEB">
      <w:pPr>
        <w:pStyle w:val="BodyText"/>
        <w:tabs>
          <w:tab w:val="left" w:pos="682"/>
        </w:tabs>
        <w:spacing w:line="276" w:lineRule="auto"/>
        <w:ind w:firstLine="567"/>
        <w:jc w:val="both"/>
        <w:rPr>
          <w:rFonts w:ascii="GHEA Grapalat" w:hAnsi="GHEA Grapalat"/>
          <w:color w:val="000000" w:themeColor="text1"/>
          <w:lang w:val="hy-AM" w:eastAsia="hy-AM" w:bidi="hy-AM"/>
        </w:rPr>
      </w:pPr>
      <w:r w:rsidRPr="005C082A">
        <w:rPr>
          <w:rFonts w:ascii="GHEA Grapalat" w:hAnsi="GHEA Grapalat"/>
          <w:color w:val="000000" w:themeColor="text1"/>
          <w:lang w:val="hy-AM"/>
        </w:rPr>
        <w:t>Համաձայն ՀՀՇՆ IV-11.05.02-99-ի (ավտոմոբիլային ճանապարհներ) 15.3 կետի</w:t>
      </w:r>
      <w:r w:rsidRPr="005C082A">
        <w:rPr>
          <w:rFonts w:ascii="GHEA Grapalat" w:hAnsi="GHEA Grapalat"/>
          <w:color w:val="000000" w:themeColor="text1"/>
          <w:lang w:val="hy-AM" w:eastAsia="hy-AM" w:bidi="hy-AM"/>
        </w:rPr>
        <w:t xml:space="preserve"> աշխատանքների ընդունման ժամանակ </w:t>
      </w:r>
      <w:r w:rsidRPr="005C082A">
        <w:rPr>
          <w:rFonts w:ascii="GHEA Grapalat" w:hAnsi="GHEA Grapalat"/>
          <w:b/>
          <w:i/>
          <w:color w:val="000000" w:themeColor="text1"/>
          <w:u w:val="single"/>
          <w:lang w:val="hy-AM" w:eastAsia="hy-AM" w:bidi="hy-AM"/>
        </w:rPr>
        <w:t>պետք է ստուգել</w:t>
      </w:r>
      <w:r w:rsidRPr="005C082A">
        <w:rPr>
          <w:rFonts w:ascii="GHEA Grapalat" w:hAnsi="GHEA Grapalat"/>
          <w:color w:val="000000" w:themeColor="text1"/>
          <w:lang w:val="hy-AM" w:eastAsia="hy-AM" w:bidi="hy-AM"/>
        </w:rPr>
        <w:t xml:space="preserve"> նաև</w:t>
      </w:r>
      <w:bookmarkStart w:id="12" w:name="bookmark505"/>
      <w:bookmarkStart w:id="13" w:name="bookmark506"/>
      <w:bookmarkStart w:id="14" w:name="bookmark507"/>
      <w:bookmarkEnd w:id="12"/>
      <w:bookmarkEnd w:id="13"/>
      <w:bookmarkEnd w:id="14"/>
      <w:r w:rsidRPr="005C082A">
        <w:rPr>
          <w:rFonts w:ascii="GHEA Grapalat" w:hAnsi="GHEA Grapalat"/>
          <w:color w:val="000000" w:themeColor="text1"/>
          <w:lang w:val="hy-AM" w:eastAsia="hy-AM" w:bidi="hy-AM"/>
        </w:rPr>
        <w:t xml:space="preserve"> ավտոմոբիլի անիվի կառչումը ծածկից կամ ծածկի անողորկությունը (խորդուբորդու</w:t>
      </w:r>
      <w:r w:rsidRPr="005C082A">
        <w:rPr>
          <w:rFonts w:ascii="GHEA Grapalat" w:hAnsi="GHEA Grapalat"/>
          <w:color w:val="000000" w:themeColor="text1"/>
          <w:lang w:val="hy-AM" w:eastAsia="hy-AM" w:bidi="hy-AM"/>
        </w:rPr>
        <w:softHyphen/>
        <w:t>թյունը)։</w:t>
      </w:r>
    </w:p>
    <w:p w14:paraId="6A1B8092" w14:textId="6B46E95B" w:rsidR="005D44B2" w:rsidRDefault="005D44B2" w:rsidP="00CB7FEB">
      <w:pPr>
        <w:pStyle w:val="BodyText"/>
        <w:tabs>
          <w:tab w:val="left" w:pos="682"/>
        </w:tabs>
        <w:spacing w:line="276" w:lineRule="auto"/>
        <w:ind w:firstLine="567"/>
        <w:jc w:val="both"/>
        <w:rPr>
          <w:rFonts w:ascii="GHEA Grapalat" w:hAnsi="GHEA Grapalat" w:cs="Calibri"/>
          <w:color w:val="000000"/>
          <w:lang w:val="hy-AM"/>
        </w:rPr>
      </w:pPr>
      <w:r w:rsidRPr="005C082A">
        <w:rPr>
          <w:rFonts w:ascii="GHEA Grapalat" w:hAnsi="GHEA Grapalat"/>
          <w:color w:val="000000" w:themeColor="text1"/>
          <w:lang w:val="hy-AM"/>
        </w:rPr>
        <w:t>Եվրոպական ներդրումային բանկի աջակցությամբ</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իրականացվող</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Մ</w:t>
      </w:r>
      <w:r w:rsidRPr="005C082A">
        <w:rPr>
          <w:rFonts w:ascii="GHEA Grapalat" w:hAnsi="GHEA Grapalat"/>
          <w:color w:val="000000" w:themeColor="text1"/>
          <w:lang w:val="fr-FR"/>
        </w:rPr>
        <w:t xml:space="preserve">6 </w:t>
      </w:r>
      <w:r w:rsidRPr="005C082A">
        <w:rPr>
          <w:rFonts w:ascii="GHEA Grapalat" w:hAnsi="GHEA Grapalat"/>
          <w:color w:val="000000" w:themeColor="text1"/>
          <w:lang w:val="hy-AM"/>
        </w:rPr>
        <w:t>Վանաձոր</w:t>
      </w:r>
      <w:r w:rsidRPr="005C082A">
        <w:rPr>
          <w:rFonts w:ascii="GHEA Grapalat" w:hAnsi="GHEA Grapalat"/>
          <w:color w:val="000000" w:themeColor="text1"/>
          <w:lang w:val="fr-FR"/>
        </w:rPr>
        <w:t>-</w:t>
      </w:r>
      <w:r w:rsidRPr="005C082A">
        <w:rPr>
          <w:rFonts w:ascii="GHEA Grapalat" w:hAnsi="GHEA Grapalat"/>
          <w:color w:val="000000" w:themeColor="text1"/>
          <w:lang w:val="hy-AM"/>
        </w:rPr>
        <w:t>Ալավերդի</w:t>
      </w:r>
      <w:r w:rsidRPr="005C082A">
        <w:rPr>
          <w:rFonts w:ascii="GHEA Grapalat" w:hAnsi="GHEA Grapalat"/>
          <w:color w:val="000000" w:themeColor="text1"/>
          <w:lang w:val="fr-FR"/>
        </w:rPr>
        <w:t>-</w:t>
      </w:r>
      <w:r w:rsidRPr="005C082A">
        <w:rPr>
          <w:rFonts w:ascii="GHEA Grapalat" w:hAnsi="GHEA Grapalat"/>
          <w:color w:val="000000" w:themeColor="text1"/>
          <w:lang w:val="hy-AM"/>
        </w:rPr>
        <w:t>Վրաստանի</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սահման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միջպետական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նշանակության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ճանապարհի</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վերականգնման և բարելավման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 xml:space="preserve">ծրագրի </w:t>
      </w:r>
      <w:r w:rsidR="004A534C" w:rsidRPr="005C082A">
        <w:rPr>
          <w:rFonts w:ascii="GHEA Grapalat" w:hAnsi="GHEA Grapalat"/>
          <w:color w:val="000000" w:themeColor="text1"/>
          <w:lang w:val="hy-AM"/>
        </w:rPr>
        <w:t xml:space="preserve">և </w:t>
      </w:r>
      <w:r w:rsidRPr="005C082A">
        <w:rPr>
          <w:rFonts w:ascii="GHEA Grapalat" w:hAnsi="GHEA Grapalat" w:cs="Calibri"/>
          <w:color w:val="000000"/>
          <w:lang w:val="hy-AM"/>
        </w:rPr>
        <w:t xml:space="preserve">Համաշխարհային բանկի աջակցությամբ իրականացվող Կենսական նշանակության ճանապարհացանցի բարելավման լրացուցիչ ծրագրի </w:t>
      </w:r>
      <w:r w:rsidR="004A534C" w:rsidRPr="005C082A">
        <w:rPr>
          <w:rFonts w:ascii="GHEA Grapalat" w:hAnsi="GHEA Grapalat" w:cs="Calibri"/>
          <w:color w:val="000000"/>
          <w:lang w:val="hy-AM"/>
        </w:rPr>
        <w:t>շրջանակներում</w:t>
      </w:r>
      <w:r w:rsidR="00793918" w:rsidRPr="005C082A">
        <w:rPr>
          <w:rFonts w:ascii="GHEA Grapalat" w:hAnsi="GHEA Grapalat" w:cs="Calibri"/>
          <w:color w:val="000000"/>
          <w:lang w:val="hy-AM"/>
        </w:rPr>
        <w:t xml:space="preserve"> 2017-2018 թվականներին </w:t>
      </w:r>
      <w:r w:rsidRPr="005C082A">
        <w:rPr>
          <w:rFonts w:ascii="GHEA Grapalat" w:hAnsi="GHEA Grapalat" w:cs="Calibri"/>
          <w:color w:val="000000"/>
          <w:lang w:val="hy-AM"/>
        </w:rPr>
        <w:t xml:space="preserve">կատարված 1187299քմ ասֆալտբետոնյա ծածկույթի վերին շերտի աշխատանքները՝ գումարով </w:t>
      </w:r>
      <w:r w:rsidRPr="005C082A">
        <w:rPr>
          <w:rFonts w:ascii="GHEA Grapalat" w:hAnsi="GHEA Grapalat" w:cs="Calibri"/>
          <w:b/>
          <w:i/>
          <w:color w:val="000000"/>
          <w:u w:val="single"/>
          <w:lang w:val="hy-AM"/>
        </w:rPr>
        <w:t>6,171,153.58 հազ. դրամ</w:t>
      </w:r>
      <w:r w:rsidRPr="005C082A">
        <w:rPr>
          <w:rFonts w:ascii="GHEA Grapalat" w:hAnsi="GHEA Grapalat" w:cs="Calibri"/>
          <w:b/>
          <w:i/>
          <w:color w:val="000000"/>
          <w:lang w:val="hy-AM"/>
        </w:rPr>
        <w:t xml:space="preserve">ի, </w:t>
      </w:r>
      <w:r w:rsidRPr="005C082A">
        <w:rPr>
          <w:rFonts w:ascii="GHEA Grapalat" w:hAnsi="GHEA Grapalat" w:cs="Calibri"/>
          <w:color w:val="000000"/>
          <w:lang w:val="hy-AM"/>
        </w:rPr>
        <w:t>ընդունվել են առանց ծածկից ավտոմոբիլի անիվի կառչման գործակիցը ստուգելու (</w:t>
      </w:r>
      <w:r w:rsidRPr="005C082A">
        <w:rPr>
          <w:rFonts w:ascii="GHEA Grapalat" w:hAnsi="GHEA Grapalat" w:cs="Calibri"/>
          <w:i/>
          <w:color w:val="000000"/>
          <w:u w:val="single"/>
          <w:lang w:val="hy-AM"/>
        </w:rPr>
        <w:t>2,008,545.00 հազ. դրամի</w:t>
      </w:r>
      <w:r w:rsidRPr="005C082A">
        <w:rPr>
          <w:rFonts w:ascii="GHEA Grapalat" w:hAnsi="GHEA Grapalat" w:cs="Calibri"/>
          <w:color w:val="000000"/>
          <w:lang w:val="hy-AM"/>
        </w:rPr>
        <w:t xml:space="preserve"> </w:t>
      </w:r>
      <w:r w:rsidRPr="005C082A">
        <w:rPr>
          <w:rFonts w:ascii="GHEA Grapalat" w:hAnsi="GHEA Grapalat"/>
          <w:color w:val="000000" w:themeColor="text1"/>
          <w:lang w:val="hy-AM"/>
        </w:rPr>
        <w:t>Եվրոպական ներդրումային բանկի աջակցությամբ</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իրականացվող</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Մ</w:t>
      </w:r>
      <w:r w:rsidRPr="005C082A">
        <w:rPr>
          <w:rFonts w:ascii="GHEA Grapalat" w:hAnsi="GHEA Grapalat"/>
          <w:color w:val="000000" w:themeColor="text1"/>
          <w:lang w:val="fr-FR"/>
        </w:rPr>
        <w:t xml:space="preserve">6 </w:t>
      </w:r>
      <w:r w:rsidRPr="005C082A">
        <w:rPr>
          <w:rFonts w:ascii="GHEA Grapalat" w:hAnsi="GHEA Grapalat"/>
          <w:color w:val="000000" w:themeColor="text1"/>
          <w:lang w:val="hy-AM"/>
        </w:rPr>
        <w:t>Վանաձոր</w:t>
      </w:r>
      <w:r w:rsidRPr="005C082A">
        <w:rPr>
          <w:rFonts w:ascii="GHEA Grapalat" w:hAnsi="GHEA Grapalat"/>
          <w:color w:val="000000" w:themeColor="text1"/>
          <w:lang w:val="fr-FR"/>
        </w:rPr>
        <w:t>-</w:t>
      </w:r>
      <w:r w:rsidRPr="005C082A">
        <w:rPr>
          <w:rFonts w:ascii="GHEA Grapalat" w:hAnsi="GHEA Grapalat"/>
          <w:color w:val="000000" w:themeColor="text1"/>
          <w:lang w:val="hy-AM"/>
        </w:rPr>
        <w:t>Ալավերդի</w:t>
      </w:r>
      <w:r w:rsidRPr="005C082A">
        <w:rPr>
          <w:rFonts w:ascii="GHEA Grapalat" w:hAnsi="GHEA Grapalat"/>
          <w:color w:val="000000" w:themeColor="text1"/>
          <w:lang w:val="fr-FR"/>
        </w:rPr>
        <w:t>-</w:t>
      </w:r>
      <w:r w:rsidRPr="005C082A">
        <w:rPr>
          <w:rFonts w:ascii="GHEA Grapalat" w:hAnsi="GHEA Grapalat"/>
          <w:color w:val="000000" w:themeColor="text1"/>
          <w:lang w:val="hy-AM"/>
        </w:rPr>
        <w:t>Վրաստանի</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սահման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միջպետական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նշանակության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ճանապարհի</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բարելավման</w:t>
      </w:r>
      <w:r w:rsidRPr="005C082A">
        <w:rPr>
          <w:rFonts w:ascii="GHEA Grapalat" w:hAnsi="GHEA Grapalat"/>
          <w:color w:val="000000" w:themeColor="text1"/>
          <w:lang w:val="fr-FR"/>
        </w:rPr>
        <w:t xml:space="preserve"> </w:t>
      </w:r>
      <w:r w:rsidRPr="005C082A">
        <w:rPr>
          <w:rFonts w:ascii="GHEA Grapalat" w:hAnsi="GHEA Grapalat"/>
          <w:color w:val="000000" w:themeColor="text1"/>
          <w:lang w:val="hy-AM"/>
        </w:rPr>
        <w:t>ծրագրի շրջանակում</w:t>
      </w:r>
      <w:r w:rsidRPr="005C082A">
        <w:rPr>
          <w:rFonts w:ascii="GHEA Grapalat" w:hAnsi="GHEA Grapalat" w:cs="Calibri"/>
          <w:color w:val="000000"/>
          <w:lang w:val="hy-AM"/>
        </w:rPr>
        <w:t xml:space="preserve"> և </w:t>
      </w:r>
      <w:r w:rsidRPr="005C082A">
        <w:rPr>
          <w:rFonts w:ascii="GHEA Grapalat" w:hAnsi="GHEA Grapalat" w:cs="Calibri"/>
          <w:i/>
          <w:color w:val="000000"/>
          <w:u w:val="single"/>
          <w:lang w:val="hy-AM"/>
        </w:rPr>
        <w:t>4,162,608.0 հազ. դրամի</w:t>
      </w:r>
      <w:r w:rsidRPr="005C082A">
        <w:rPr>
          <w:rFonts w:ascii="GHEA Grapalat" w:hAnsi="GHEA Grapalat" w:cs="Calibri"/>
          <w:color w:val="000000"/>
          <w:lang w:val="hy-AM"/>
        </w:rPr>
        <w:t xml:space="preserve"> Համաշխարհային բանկի աջակցությամբ իրականացվող Կենսական նշանակության ճանապարհացանցի բարելավման լրացուցիչ ծրագրի շրջանակում)։ </w:t>
      </w:r>
    </w:p>
    <w:p w14:paraId="52207A64" w14:textId="71C1FD1F" w:rsidR="001035B2" w:rsidRPr="007158ED" w:rsidRDefault="001035B2" w:rsidP="00FF16B1">
      <w:pPr>
        <w:spacing w:before="240" w:after="0"/>
        <w:ind w:firstLine="567"/>
        <w:rPr>
          <w:b/>
          <w:sz w:val="20"/>
          <w:szCs w:val="20"/>
          <w:lang w:val="hy-AM"/>
        </w:rPr>
      </w:pPr>
      <w:r w:rsidRPr="007158ED">
        <w:rPr>
          <w:b/>
          <w:sz w:val="20"/>
          <w:szCs w:val="20"/>
          <w:lang w:val="hy-AM"/>
        </w:rPr>
        <w:t>Հաշվեքննության օբյեկտի առարկությունները և բացատրությունները։</w:t>
      </w:r>
    </w:p>
    <w:p w14:paraId="70098414" w14:textId="77777777" w:rsidR="007F681E" w:rsidRPr="007158ED" w:rsidRDefault="007F681E">
      <w:pPr>
        <w:rPr>
          <w:color w:val="000000" w:themeColor="text1"/>
          <w:sz w:val="20"/>
          <w:szCs w:val="20"/>
          <w:lang w:val="hy-AM" w:eastAsia="hy-AM" w:bidi="hy-AM"/>
        </w:rPr>
      </w:pPr>
      <w:r w:rsidRPr="007158ED">
        <w:rPr>
          <w:color w:val="000000" w:themeColor="text1"/>
          <w:sz w:val="20"/>
          <w:szCs w:val="20"/>
          <w:lang w:val="hy-AM" w:eastAsia="hy-AM" w:bidi="hy-AM"/>
        </w:rPr>
        <w:t>Ծրագրի ընթացքում կատարվել են կառուցված ասֆալտբետոնյա ծածկի վերին շերտի համար պայամանգրի անբաժանելի մասը կազմող Տեխնիկական Մասնագրերով պահանջվող բոլոր ստուգումները փորձարկումները, որոնց ցանկում ավտոմոբիլի անիվի ծածկից կառչման կամ ծածկի անողորկությանը (խորդուբորդու</w:t>
      </w:r>
      <w:r w:rsidRPr="007158ED">
        <w:rPr>
          <w:color w:val="000000" w:themeColor="text1"/>
          <w:sz w:val="20"/>
          <w:szCs w:val="20"/>
          <w:lang w:val="hy-AM" w:eastAsia="hy-AM" w:bidi="hy-AM"/>
        </w:rPr>
        <w:softHyphen/>
        <w:t>թյան) ստուգումը նախատեսված չի եղել։</w:t>
      </w:r>
    </w:p>
    <w:p w14:paraId="55130FD9" w14:textId="4D177DD9" w:rsidR="001035B2" w:rsidRPr="007158ED" w:rsidRDefault="001035B2" w:rsidP="00FF16B1">
      <w:pPr>
        <w:spacing w:before="240" w:after="0"/>
        <w:ind w:firstLine="567"/>
        <w:rPr>
          <w:b/>
          <w:sz w:val="20"/>
          <w:szCs w:val="20"/>
          <w:lang w:val="hy-AM"/>
        </w:rPr>
      </w:pPr>
      <w:r w:rsidRPr="007158ED">
        <w:rPr>
          <w:b/>
          <w:sz w:val="20"/>
          <w:szCs w:val="20"/>
          <w:lang w:val="hy-AM"/>
        </w:rPr>
        <w:t>Հաշվեքննողի մեկնաբանությունը։</w:t>
      </w:r>
    </w:p>
    <w:p w14:paraId="5661E03B" w14:textId="5DF25F1A" w:rsidR="00B46B9E" w:rsidRPr="006F6CF8" w:rsidRDefault="00F75ED3" w:rsidP="00B46B9E">
      <w:pPr>
        <w:spacing w:before="240" w:after="0"/>
        <w:ind w:firstLine="567"/>
        <w:rPr>
          <w:sz w:val="20"/>
          <w:szCs w:val="20"/>
          <w:lang w:val="hy-AM"/>
        </w:rPr>
      </w:pPr>
      <w:r w:rsidRPr="00FF16B1">
        <w:rPr>
          <w:rFonts w:eastAsia="Times New Roman"/>
          <w:sz w:val="20"/>
          <w:szCs w:val="20"/>
          <w:lang w:val="hy-AM"/>
        </w:rPr>
        <w:t>Չ</w:t>
      </w:r>
      <w:r w:rsidR="00471130" w:rsidRPr="00FF16B1">
        <w:rPr>
          <w:rFonts w:eastAsia="Times New Roman"/>
          <w:sz w:val="20"/>
          <w:szCs w:val="20"/>
          <w:lang w:val="hy-AM"/>
        </w:rPr>
        <w:t>ի ընդունվում քանի</w:t>
      </w:r>
      <w:r w:rsidR="00B46B9E" w:rsidRPr="007158ED">
        <w:rPr>
          <w:sz w:val="20"/>
          <w:szCs w:val="20"/>
          <w:lang w:val="hy-AM"/>
        </w:rPr>
        <w:t xml:space="preserve"> որ </w:t>
      </w:r>
    </w:p>
    <w:p w14:paraId="03E41373" w14:textId="4BD3A961" w:rsidR="00B46B9E" w:rsidRDefault="00B46B9E" w:rsidP="00B46B9E">
      <w:pPr>
        <w:pStyle w:val="NormalWeb"/>
        <w:shd w:val="clear" w:color="auto" w:fill="FFFFFF"/>
        <w:spacing w:before="0" w:beforeAutospacing="0" w:after="0" w:afterAutospacing="0" w:line="276" w:lineRule="auto"/>
        <w:ind w:firstLine="567"/>
        <w:jc w:val="both"/>
        <w:rPr>
          <w:rFonts w:ascii="GHEA Grapalat" w:hAnsi="GHEA Grapalat"/>
          <w:color w:val="000000"/>
          <w:sz w:val="20"/>
          <w:szCs w:val="20"/>
          <w:shd w:val="clear" w:color="auto" w:fill="FFFFFF"/>
          <w:lang w:val="hy-AM"/>
        </w:rPr>
      </w:pPr>
      <w:r w:rsidRPr="006F6CF8">
        <w:rPr>
          <w:rFonts w:ascii="GHEA Grapalat" w:hAnsi="GHEA Grapalat"/>
          <w:sz w:val="20"/>
          <w:szCs w:val="20"/>
          <w:lang w:val="hy-AM"/>
        </w:rPr>
        <w:t xml:space="preserve">- </w:t>
      </w:r>
      <w:r w:rsidRPr="007158ED">
        <w:rPr>
          <w:rFonts w:ascii="GHEA Grapalat" w:hAnsi="GHEA Grapalat"/>
          <w:sz w:val="20"/>
          <w:szCs w:val="20"/>
          <w:lang w:val="hy-AM"/>
        </w:rPr>
        <w:t xml:space="preserve">Համաձայն «Քաղաքաշինության մասին» ՀՀ օրենքի 16-րդ հոդվածի 3-րդ մասի </w:t>
      </w:r>
      <w:r w:rsidRPr="007158ED">
        <w:rPr>
          <w:rFonts w:ascii="GHEA Grapalat" w:hAnsi="GHEA Grapalat"/>
          <w:color w:val="000000"/>
          <w:sz w:val="20"/>
          <w:szCs w:val="20"/>
          <w:shd w:val="clear" w:color="auto" w:fill="FFFFFF"/>
          <w:lang w:val="hy-AM"/>
        </w:rPr>
        <w:t>քաղաքաշինական նորմատիվ-տեխնիկական փաստաթղթերի պահանջների կատարումը պարտադիր է քաղաքաշինական գործունեության սուբյեկտների համար։</w:t>
      </w:r>
      <w:r w:rsidR="0050616A" w:rsidRPr="00FF16B1">
        <w:rPr>
          <w:rFonts w:ascii="GHEA Grapalat" w:hAnsi="GHEA Grapalat"/>
          <w:color w:val="000000"/>
          <w:sz w:val="20"/>
          <w:szCs w:val="20"/>
          <w:shd w:val="clear" w:color="auto" w:fill="FFFFFF"/>
          <w:lang w:val="hy-AM"/>
        </w:rPr>
        <w:t xml:space="preserve"> Համաձայն </w:t>
      </w:r>
      <w:r w:rsidR="0050616A" w:rsidRPr="007158ED">
        <w:rPr>
          <w:rFonts w:ascii="GHEA Grapalat" w:hAnsi="GHEA Grapalat"/>
          <w:sz w:val="20"/>
          <w:szCs w:val="20"/>
          <w:lang w:val="hy-AM"/>
        </w:rPr>
        <w:t>«Քաղաքաշինության մասին» ՀՀ օրենքի</w:t>
      </w:r>
      <w:r w:rsidRPr="007158ED">
        <w:rPr>
          <w:rFonts w:ascii="GHEA Grapalat" w:hAnsi="GHEA Grapalat"/>
          <w:color w:val="000000"/>
          <w:sz w:val="20"/>
          <w:szCs w:val="20"/>
          <w:shd w:val="clear" w:color="auto" w:fill="FFFFFF"/>
          <w:lang w:val="hy-AM"/>
        </w:rPr>
        <w:t xml:space="preserve"> </w:t>
      </w:r>
      <w:r w:rsidR="0050616A" w:rsidRPr="00FF16B1">
        <w:rPr>
          <w:rFonts w:ascii="GHEA Grapalat" w:hAnsi="GHEA Grapalat"/>
          <w:color w:val="000000"/>
          <w:sz w:val="20"/>
          <w:szCs w:val="20"/>
          <w:shd w:val="clear" w:color="auto" w:fill="FFFFFF"/>
          <w:lang w:val="hy-AM"/>
        </w:rPr>
        <w:t xml:space="preserve">4-րդ հոդվածի քաղաքաշինության գործունեության սուբյեկտներն են ՀՀ-ն, տեղական ինքնակառավարման մարմինները, ՀՀ և օտարերկրյա ֆիզիկական և իրավաբանական անձինք, քաղաքացիություն չունեցող անձինք, ինչպես նաև օտարերկրյա պետություններն ու </w:t>
      </w:r>
      <w:r w:rsidR="0050616A">
        <w:rPr>
          <w:rFonts w:ascii="GHEA Grapalat" w:hAnsi="GHEA Grapalat"/>
          <w:color w:val="000000"/>
          <w:sz w:val="20"/>
          <w:szCs w:val="20"/>
          <w:shd w:val="clear" w:color="auto" w:fill="FFFFFF"/>
          <w:lang w:val="hy-AM"/>
        </w:rPr>
        <w:t xml:space="preserve">միջազգային կազմակերպությունները, որոնք կարող են հանդես գալ </w:t>
      </w:r>
      <w:r w:rsidR="0050616A" w:rsidRPr="00FF16B1">
        <w:rPr>
          <w:rFonts w:ascii="GHEA Grapalat" w:hAnsi="GHEA Grapalat"/>
          <w:color w:val="000000"/>
          <w:sz w:val="20"/>
          <w:szCs w:val="20"/>
          <w:shd w:val="clear" w:color="auto" w:fill="FFFFFF"/>
          <w:lang w:val="hy-AM"/>
        </w:rPr>
        <w:t xml:space="preserve">որպես քաղաքաշինական գործունեության </w:t>
      </w:r>
      <w:r w:rsidR="0050616A" w:rsidRPr="00FF16B1">
        <w:rPr>
          <w:rFonts w:ascii="GHEA Grapalat" w:hAnsi="GHEA Grapalat"/>
          <w:color w:val="000000"/>
          <w:sz w:val="20"/>
          <w:szCs w:val="20"/>
          <w:shd w:val="clear" w:color="auto" w:fill="FFFFFF"/>
          <w:lang w:val="hy-AM"/>
        </w:rPr>
        <w:lastRenderedPageBreak/>
        <w:t xml:space="preserve">մասնակիցներ (կառուցապատողներ, քաղաքաշինական փաստաթղթեր մշակողներ, շինարարություն իրականացնողներ, քաղաքաշինական գործունեության վերահսկողություն իրականացնողներ և այլն)։ </w:t>
      </w:r>
      <w:r w:rsidRPr="007158ED">
        <w:rPr>
          <w:rFonts w:ascii="GHEA Grapalat" w:hAnsi="GHEA Grapalat"/>
          <w:color w:val="000000"/>
          <w:sz w:val="20"/>
          <w:szCs w:val="20"/>
          <w:shd w:val="clear" w:color="auto" w:fill="FFFFFF"/>
          <w:lang w:val="hy-AM"/>
        </w:rPr>
        <w:t xml:space="preserve">Համաձայն ՀՀ կառավարության 2015 թվականի մարտի 15-ի թիվ 596-Ն որոշման Հավելվածի </w:t>
      </w:r>
      <w:r w:rsidRPr="007158ED">
        <w:rPr>
          <w:rStyle w:val="Strong"/>
          <w:rFonts w:ascii="GHEA Grapalat" w:eastAsiaTheme="majorEastAsia" w:hAnsi="GHEA Grapalat"/>
          <w:b w:val="0"/>
          <w:color w:val="000000"/>
          <w:sz w:val="20"/>
          <w:szCs w:val="20"/>
          <w:shd w:val="clear" w:color="auto" w:fill="FFFFFF"/>
          <w:lang w:val="hy-AM"/>
        </w:rPr>
        <w:t>N</w:t>
      </w:r>
      <w:r w:rsidRPr="007158ED">
        <w:rPr>
          <w:rStyle w:val="Strong"/>
          <w:rFonts w:ascii="Calibri" w:eastAsiaTheme="majorEastAsia" w:hAnsi="Calibri" w:cs="Calibri"/>
          <w:b w:val="0"/>
          <w:color w:val="000000"/>
          <w:sz w:val="20"/>
          <w:szCs w:val="20"/>
          <w:shd w:val="clear" w:color="auto" w:fill="FFFFFF"/>
          <w:lang w:val="hy-AM"/>
        </w:rPr>
        <w:t> </w:t>
      </w:r>
      <w:r w:rsidRPr="007158ED">
        <w:rPr>
          <w:rStyle w:val="Strong"/>
          <w:rFonts w:ascii="GHEA Grapalat" w:eastAsiaTheme="majorEastAsia" w:hAnsi="GHEA Grapalat" w:cs="Calibri"/>
          <w:b w:val="0"/>
          <w:color w:val="000000"/>
          <w:sz w:val="20"/>
          <w:szCs w:val="20"/>
          <w:shd w:val="clear" w:color="auto" w:fill="FFFFFF"/>
          <w:lang w:val="hy-AM"/>
        </w:rPr>
        <w:t xml:space="preserve"> 1-ի</w:t>
      </w:r>
      <w:r w:rsidRPr="006F6CF8">
        <w:rPr>
          <w:rStyle w:val="Strong"/>
          <w:rFonts w:ascii="GHEA Grapalat" w:eastAsiaTheme="majorEastAsia" w:hAnsi="GHEA Grapalat" w:cs="Calibri"/>
          <w:color w:val="000000"/>
          <w:sz w:val="20"/>
          <w:szCs w:val="20"/>
          <w:shd w:val="clear" w:color="auto" w:fill="FFFFFF"/>
          <w:lang w:val="hy-AM"/>
        </w:rPr>
        <w:t xml:space="preserve"> </w:t>
      </w:r>
      <w:r w:rsidRPr="007158ED">
        <w:rPr>
          <w:rFonts w:ascii="GHEA Grapalat" w:hAnsi="GHEA Grapalat"/>
          <w:color w:val="000000"/>
          <w:sz w:val="20"/>
          <w:szCs w:val="20"/>
          <w:shd w:val="clear" w:color="auto" w:fill="FFFFFF"/>
          <w:lang w:val="hy-AM"/>
        </w:rPr>
        <w:t xml:space="preserve">6-րդ կետի պահանջի կառուցապատման նպատակով քաղաքաշինական գործունեությունն իրականացվում է ՀՀ օրենսդրության և նորմատիվատեխնիկական փաստաթղթերի պահանջներին համապատասխան։ Համաձայն նույն հավելվածի 12-րդ կետի պահանջի  շինարարական աշխատանքներն իրականացնող կապալառուն և տեխնիկական հսկողությունն իրականացնող կազմակերպությունը պարտավոր են ապահովել շինարարական աշխատանքների համապատասխանությունը նորմատիվատեխնիկական փաստաթղթերի պահանջներին։ Համաձայն ՀՀ քաղաքաշինության նախարարի 1998 թվականի ապրիլի 28-ի </w:t>
      </w:r>
      <w:r w:rsidRPr="006F6CF8">
        <w:rPr>
          <w:rFonts w:ascii="GHEA Grapalat" w:hAnsi="GHEA Grapalat"/>
          <w:color w:val="000000"/>
          <w:sz w:val="20"/>
          <w:szCs w:val="20"/>
          <w:shd w:val="clear" w:color="auto" w:fill="FFFFFF"/>
          <w:lang w:val="hy-AM"/>
        </w:rPr>
        <w:t>N</w:t>
      </w:r>
      <w:r w:rsidRPr="007158ED">
        <w:rPr>
          <w:rFonts w:ascii="GHEA Grapalat" w:hAnsi="GHEA Grapalat"/>
          <w:sz w:val="20"/>
          <w:szCs w:val="20"/>
          <w:lang w:val="hy-AM"/>
        </w:rPr>
        <w:t xml:space="preserve"> 44 հրամանով հաստատված «Շինարարության որակի տեխնիկակակն հսկողությանյան իրականացման հրահանգի» 1.2 կետի և  4-րդ կետի 3-րդ պարբերության տեխնիկական հսկողությունն իրականացնողը պարտավոր է </w:t>
      </w:r>
      <w:r w:rsidRPr="007158ED">
        <w:rPr>
          <w:rFonts w:ascii="GHEA Grapalat" w:hAnsi="GHEA Grapalat" w:cs="Arial Unicode"/>
          <w:color w:val="000000"/>
          <w:sz w:val="20"/>
          <w:szCs w:val="20"/>
          <w:lang w:val="hy-AM"/>
        </w:rPr>
        <w:t>պարբերաբար</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ստուգել</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բոլոր</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կատարված</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շինմոնտաժային</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աշխատանքների</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համապատասխանությունը</w:t>
      </w:r>
      <w:r w:rsidRPr="007158ED">
        <w:rPr>
          <w:rFonts w:ascii="GHEA Grapalat" w:hAnsi="GHEA Grapalat"/>
          <w:color w:val="000000"/>
          <w:sz w:val="20"/>
          <w:szCs w:val="20"/>
          <w:lang w:val="hy-AM"/>
        </w:rPr>
        <w:t xml:space="preserve"> </w:t>
      </w:r>
      <w:r w:rsidRPr="007158ED">
        <w:rPr>
          <w:rFonts w:ascii="Calibri" w:hAnsi="Calibri" w:cs="Calibri"/>
          <w:color w:val="000000"/>
          <w:sz w:val="20"/>
          <w:szCs w:val="20"/>
          <w:shd w:val="clear" w:color="auto" w:fill="FFFFFF"/>
          <w:lang w:val="hy-AM"/>
        </w:rPr>
        <w:t> </w:t>
      </w:r>
      <w:r w:rsidRPr="007158ED">
        <w:rPr>
          <w:rFonts w:ascii="GHEA Grapalat" w:hAnsi="GHEA Grapalat" w:cs="Arial Unicode"/>
          <w:color w:val="000000"/>
          <w:sz w:val="20"/>
          <w:szCs w:val="20"/>
          <w:shd w:val="clear" w:color="auto" w:fill="FFFFFF"/>
          <w:lang w:val="hy-AM"/>
        </w:rPr>
        <w:t>շինարարական</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նորմերին</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և</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կանոններին</w:t>
      </w:r>
      <w:r w:rsidRPr="007158ED">
        <w:rPr>
          <w:rFonts w:ascii="GHEA Grapalat" w:hAnsi="GHEA Grapalat"/>
          <w:color w:val="000000"/>
          <w:sz w:val="20"/>
          <w:szCs w:val="20"/>
          <w:shd w:val="clear" w:color="auto" w:fill="FFFFFF"/>
          <w:lang w:val="hy-AM"/>
        </w:rPr>
        <w:t>։</w:t>
      </w:r>
    </w:p>
    <w:p w14:paraId="1215B9C5" w14:textId="4B384F54" w:rsidR="000D0335" w:rsidRDefault="000D0335" w:rsidP="00B46B9E">
      <w:pPr>
        <w:pStyle w:val="NormalWeb"/>
        <w:shd w:val="clear" w:color="auto" w:fill="FFFFFF"/>
        <w:spacing w:before="0" w:beforeAutospacing="0" w:after="0" w:afterAutospacing="0" w:line="276" w:lineRule="auto"/>
        <w:ind w:firstLine="567"/>
        <w:jc w:val="both"/>
        <w:rPr>
          <w:rFonts w:ascii="GHEA Grapalat" w:hAnsi="GHEA Grapalat"/>
          <w:color w:val="000000"/>
          <w:sz w:val="20"/>
          <w:szCs w:val="20"/>
          <w:shd w:val="clear" w:color="auto" w:fill="FFFFFF"/>
          <w:lang w:val="hy-AM"/>
        </w:rPr>
      </w:pPr>
    </w:p>
    <w:p w14:paraId="4A482EAB" w14:textId="4819A863" w:rsidR="000D0335" w:rsidRDefault="000D0335" w:rsidP="000D0335">
      <w:pPr>
        <w:pStyle w:val="NormalWeb"/>
        <w:shd w:val="clear" w:color="auto" w:fill="FFFFFF"/>
        <w:spacing w:before="0" w:beforeAutospacing="0" w:after="0" w:afterAutospacing="0" w:line="276" w:lineRule="auto"/>
        <w:ind w:firstLine="567"/>
        <w:jc w:val="center"/>
        <w:rPr>
          <w:rFonts w:ascii="GHEA Grapalat" w:hAnsi="GHEA Grapalat"/>
          <w:b/>
          <w:i/>
          <w:color w:val="000000"/>
          <w:szCs w:val="20"/>
          <w:u w:val="single"/>
          <w:shd w:val="clear" w:color="auto" w:fill="FFFFFF"/>
          <w:lang w:val="hy-AM"/>
        </w:rPr>
      </w:pPr>
      <w:r w:rsidRPr="000D0335">
        <w:rPr>
          <w:rFonts w:ascii="GHEA Grapalat" w:hAnsi="GHEA Grapalat"/>
          <w:b/>
          <w:i/>
          <w:color w:val="000000"/>
          <w:szCs w:val="20"/>
          <w:u w:val="single"/>
          <w:shd w:val="clear" w:color="auto" w:fill="FFFFFF"/>
          <w:lang w:val="hy-AM"/>
        </w:rPr>
        <w:t>Եվրոպական ներդրումային բանկի աջակցությամբ իրակացվող Մ6 Վանաձոր-Ալավերդի-Վրաստանի սահման միջպետական նշանակության ճանապարհի վերականգնման և բարելավման ծրագիր</w:t>
      </w:r>
    </w:p>
    <w:p w14:paraId="310B7282" w14:textId="77777777" w:rsidR="000D0335" w:rsidRPr="000D0335" w:rsidRDefault="000D0335" w:rsidP="00B46B9E">
      <w:pPr>
        <w:pStyle w:val="NormalWeb"/>
        <w:shd w:val="clear" w:color="auto" w:fill="FFFFFF"/>
        <w:spacing w:before="0" w:beforeAutospacing="0" w:after="0" w:afterAutospacing="0" w:line="276" w:lineRule="auto"/>
        <w:ind w:firstLine="567"/>
        <w:jc w:val="both"/>
        <w:rPr>
          <w:rFonts w:ascii="GHEA Grapalat" w:hAnsi="GHEA Grapalat"/>
          <w:b/>
          <w:i/>
          <w:color w:val="000000"/>
          <w:szCs w:val="20"/>
          <w:u w:val="single"/>
          <w:shd w:val="clear" w:color="auto" w:fill="FFFFFF"/>
          <w:lang w:val="hy-AM"/>
        </w:rPr>
      </w:pPr>
    </w:p>
    <w:p w14:paraId="4003276C" w14:textId="03FB9880" w:rsidR="005D44B2" w:rsidRPr="005C082A" w:rsidRDefault="000F79B2" w:rsidP="00CB7FEB">
      <w:pPr>
        <w:spacing w:after="0"/>
        <w:ind w:firstLine="567"/>
        <w:contextualSpacing/>
        <w:rPr>
          <w:b/>
          <w:i/>
          <w:szCs w:val="24"/>
          <w:lang w:val="fr-FR"/>
        </w:rPr>
      </w:pPr>
      <w:r w:rsidRPr="005C082A">
        <w:rPr>
          <w:b/>
          <w:i/>
          <w:szCs w:val="24"/>
          <w:lang w:val="fr-FR"/>
        </w:rPr>
        <w:t>5</w:t>
      </w:r>
      <w:r w:rsidR="005D44B2" w:rsidRPr="005C082A">
        <w:rPr>
          <w:b/>
          <w:i/>
          <w:szCs w:val="24"/>
          <w:lang w:val="fr-FR"/>
        </w:rPr>
        <w:t>.2. Առկա է անհամապատասխանություն ՀՀ ֆինանսների նախարարի 2014 թվականի հոկտեմբերի 24-ի թիվ 725-Ն հրամանով հաստատված</w:t>
      </w:r>
      <w:proofErr w:type="gramStart"/>
      <w:r w:rsidR="005D44B2" w:rsidRPr="005C082A">
        <w:rPr>
          <w:b/>
          <w:i/>
          <w:szCs w:val="24"/>
          <w:lang w:val="fr-FR"/>
        </w:rPr>
        <w:t xml:space="preserve"> «ՀՀ</w:t>
      </w:r>
      <w:proofErr w:type="gramEnd"/>
      <w:r w:rsidR="005D44B2" w:rsidRPr="005C082A">
        <w:rPr>
          <w:b/>
          <w:i/>
          <w:szCs w:val="24"/>
          <w:lang w:val="fr-FR"/>
        </w:rPr>
        <w:t xml:space="preserve"> հանրային հատվածի հաշապահական հաշվառման ստանդարտի» 11.11.-11.16 պարագրաֆներով սահմանված պահանջի հետ։</w:t>
      </w:r>
    </w:p>
    <w:p w14:paraId="540C2C94" w14:textId="01565AA7" w:rsidR="005D44B2" w:rsidRPr="00650A93" w:rsidRDefault="005D44B2" w:rsidP="00CB7FEB">
      <w:pPr>
        <w:spacing w:after="0"/>
        <w:ind w:firstLine="567"/>
        <w:contextualSpacing/>
        <w:rPr>
          <w:szCs w:val="24"/>
          <w:lang w:val="fr-FR"/>
        </w:rPr>
      </w:pPr>
      <w:r w:rsidRPr="005C082A">
        <w:rPr>
          <w:szCs w:val="24"/>
          <w:lang w:val="fr-FR"/>
        </w:rPr>
        <w:t>Համաձայն ՀՀ ֆինանսների նախարարի 2014 թվականի հոկտեմբերի 24-ի թիվ 725-Ն հրամանով հաստատված «ՀՀ հանրային հատվածի հաշապահական հաշվառման ստանդարտի» 11.11.-11.16 պարագրաֆներով սահմանված պահանջի հիմնական միջոցի միավորի վրա նոր մասի (բաղկացուցչի) ավելացման (փոխարինման) ծախսումները ավելացվում են հիմնական միջոցի միավորի հաշվեկշռային արժեքին</w:t>
      </w:r>
      <w:r w:rsidR="007A75CA" w:rsidRPr="005C082A">
        <w:rPr>
          <w:szCs w:val="24"/>
          <w:lang w:val="hy-AM"/>
        </w:rPr>
        <w:t>,</w:t>
      </w:r>
      <w:r w:rsidRPr="005C082A">
        <w:rPr>
          <w:szCs w:val="24"/>
          <w:lang w:val="fr-FR"/>
        </w:rPr>
        <w:t xml:space="preserve"> այնինչ</w:t>
      </w:r>
      <w:r w:rsidR="007A75CA" w:rsidRPr="005C082A">
        <w:rPr>
          <w:szCs w:val="24"/>
          <w:lang w:val="hy-AM"/>
        </w:rPr>
        <w:t>՝</w:t>
      </w:r>
      <w:r w:rsidRPr="005C082A">
        <w:rPr>
          <w:szCs w:val="24"/>
          <w:lang w:val="fr-FR"/>
        </w:rPr>
        <w:t xml:space="preserve"> </w:t>
      </w:r>
      <w:r w:rsidRPr="005C082A">
        <w:rPr>
          <w:szCs w:val="24"/>
          <w:lang w:val="hy-AM"/>
        </w:rPr>
        <w:t>Եվրոպական ներդրումային բանկի աջակցությամբ</w:t>
      </w:r>
      <w:r w:rsidRPr="005C082A">
        <w:rPr>
          <w:szCs w:val="24"/>
          <w:lang w:val="fr-FR"/>
        </w:rPr>
        <w:t xml:space="preserve"> </w:t>
      </w:r>
      <w:r w:rsidRPr="005C082A">
        <w:rPr>
          <w:szCs w:val="24"/>
          <w:lang w:val="hy-AM"/>
        </w:rPr>
        <w:t>իրականացվող</w:t>
      </w:r>
      <w:r w:rsidRPr="005C082A">
        <w:rPr>
          <w:szCs w:val="24"/>
          <w:lang w:val="fr-FR"/>
        </w:rPr>
        <w:t xml:space="preserve"> </w:t>
      </w:r>
      <w:r w:rsidRPr="005C082A">
        <w:rPr>
          <w:szCs w:val="24"/>
          <w:lang w:val="hy-AM"/>
        </w:rPr>
        <w:t>Մ</w:t>
      </w:r>
      <w:r w:rsidRPr="005C082A">
        <w:rPr>
          <w:szCs w:val="24"/>
          <w:lang w:val="fr-FR"/>
        </w:rPr>
        <w:t xml:space="preserve">6 </w:t>
      </w:r>
      <w:r w:rsidRPr="005C082A">
        <w:rPr>
          <w:szCs w:val="24"/>
          <w:lang w:val="hy-AM"/>
        </w:rPr>
        <w:t>Վանաձոր</w:t>
      </w:r>
      <w:r w:rsidRPr="005C082A">
        <w:rPr>
          <w:szCs w:val="24"/>
          <w:lang w:val="fr-FR"/>
        </w:rPr>
        <w:t>-</w:t>
      </w:r>
      <w:r w:rsidRPr="005C082A">
        <w:rPr>
          <w:szCs w:val="24"/>
          <w:lang w:val="hy-AM"/>
        </w:rPr>
        <w:t>Ալավերդի</w:t>
      </w:r>
      <w:r w:rsidRPr="005C082A">
        <w:rPr>
          <w:szCs w:val="24"/>
          <w:lang w:val="fr-FR"/>
        </w:rPr>
        <w:t>-</w:t>
      </w:r>
      <w:r w:rsidRPr="005C082A">
        <w:rPr>
          <w:szCs w:val="24"/>
          <w:lang w:val="hy-AM"/>
        </w:rPr>
        <w:t>Վրաստանի</w:t>
      </w:r>
      <w:r w:rsidRPr="005C082A">
        <w:rPr>
          <w:szCs w:val="24"/>
          <w:lang w:val="fr-FR"/>
        </w:rPr>
        <w:t xml:space="preserve"> </w:t>
      </w:r>
      <w:r w:rsidRPr="005C082A">
        <w:rPr>
          <w:szCs w:val="24"/>
          <w:lang w:val="hy-AM"/>
        </w:rPr>
        <w:t>սահման</w:t>
      </w:r>
      <w:r w:rsidRPr="005C082A">
        <w:rPr>
          <w:szCs w:val="24"/>
          <w:lang w:val="fr-FR"/>
        </w:rPr>
        <w:t xml:space="preserve"> </w:t>
      </w:r>
      <w:r w:rsidRPr="005C082A">
        <w:rPr>
          <w:szCs w:val="24"/>
          <w:lang w:val="hy-AM"/>
        </w:rPr>
        <w:t>միջպետական</w:t>
      </w:r>
      <w:r w:rsidRPr="005C082A">
        <w:rPr>
          <w:szCs w:val="24"/>
          <w:lang w:val="fr-FR"/>
        </w:rPr>
        <w:t xml:space="preserve"> </w:t>
      </w:r>
      <w:r w:rsidRPr="005C082A">
        <w:rPr>
          <w:szCs w:val="24"/>
          <w:lang w:val="hy-AM"/>
        </w:rPr>
        <w:t>նշանակության</w:t>
      </w:r>
      <w:r w:rsidRPr="005C082A">
        <w:rPr>
          <w:szCs w:val="24"/>
          <w:lang w:val="fr-FR"/>
        </w:rPr>
        <w:t xml:space="preserve"> </w:t>
      </w:r>
      <w:r w:rsidRPr="005C082A">
        <w:rPr>
          <w:szCs w:val="24"/>
          <w:lang w:val="hy-AM"/>
        </w:rPr>
        <w:t>ճանապարհի</w:t>
      </w:r>
      <w:r w:rsidRPr="005C082A">
        <w:rPr>
          <w:szCs w:val="24"/>
          <w:lang w:val="fr-FR"/>
        </w:rPr>
        <w:t xml:space="preserve"> </w:t>
      </w:r>
      <w:r w:rsidRPr="005C082A">
        <w:rPr>
          <w:szCs w:val="24"/>
          <w:lang w:val="hy-AM"/>
        </w:rPr>
        <w:t>վերականգնման և բարելավման</w:t>
      </w:r>
      <w:r w:rsidRPr="005C082A">
        <w:rPr>
          <w:szCs w:val="24"/>
          <w:lang w:val="fr-FR"/>
        </w:rPr>
        <w:t xml:space="preserve"> </w:t>
      </w:r>
      <w:r w:rsidRPr="005C082A">
        <w:rPr>
          <w:szCs w:val="24"/>
          <w:lang w:val="hy-AM"/>
        </w:rPr>
        <w:t xml:space="preserve">ծրագրի շրջանակում </w:t>
      </w:r>
      <w:r w:rsidRPr="005C082A">
        <w:rPr>
          <w:szCs w:val="24"/>
          <w:lang w:val="fr-FR"/>
        </w:rPr>
        <w:t>2017-2019</w:t>
      </w:r>
      <w:r w:rsidRPr="005C082A">
        <w:rPr>
          <w:szCs w:val="24"/>
          <w:lang w:val="en-GB"/>
        </w:rPr>
        <w:t>թթ</w:t>
      </w:r>
      <w:r w:rsidRPr="005C082A">
        <w:rPr>
          <w:szCs w:val="24"/>
          <w:lang w:val="fr-FR"/>
        </w:rPr>
        <w:t xml:space="preserve"> </w:t>
      </w:r>
      <w:r w:rsidRPr="005C082A">
        <w:rPr>
          <w:szCs w:val="24"/>
          <w:lang w:val="hy-AM"/>
        </w:rPr>
        <w:t xml:space="preserve">իրականացրած </w:t>
      </w:r>
      <w:r w:rsidRPr="005C082A">
        <w:rPr>
          <w:b/>
          <w:i/>
          <w:szCs w:val="24"/>
          <w:u w:val="single"/>
          <w:lang w:val="fr-FR"/>
        </w:rPr>
        <w:t xml:space="preserve">19,356,173.9 </w:t>
      </w:r>
      <w:r w:rsidRPr="005C082A">
        <w:rPr>
          <w:b/>
          <w:i/>
          <w:szCs w:val="24"/>
          <w:u w:val="single"/>
          <w:lang w:val="en-GB"/>
        </w:rPr>
        <w:t>հազ</w:t>
      </w:r>
      <w:r w:rsidRPr="005C082A">
        <w:rPr>
          <w:b/>
          <w:i/>
          <w:szCs w:val="24"/>
          <w:u w:val="single"/>
          <w:lang w:val="fr-FR"/>
        </w:rPr>
        <w:t xml:space="preserve">. </w:t>
      </w:r>
      <w:proofErr w:type="gramStart"/>
      <w:r w:rsidRPr="005C082A">
        <w:rPr>
          <w:b/>
          <w:i/>
          <w:szCs w:val="24"/>
          <w:u w:val="single"/>
          <w:lang w:val="fr-FR"/>
        </w:rPr>
        <w:t>դրամի</w:t>
      </w:r>
      <w:proofErr w:type="gramEnd"/>
      <w:r w:rsidRPr="005C082A">
        <w:rPr>
          <w:szCs w:val="24"/>
          <w:lang w:val="fr-FR"/>
        </w:rPr>
        <w:t xml:space="preserve"> կապիտալ ծախսումները </w:t>
      </w:r>
      <w:r w:rsidR="002568C8" w:rsidRPr="005C082A">
        <w:rPr>
          <w:szCs w:val="24"/>
          <w:lang w:val="fr-FR"/>
        </w:rPr>
        <w:t>Տարածքային կառավարման և ենթակառուցվածքների նախարարության 3</w:t>
      </w:r>
      <w:r w:rsidR="00594166" w:rsidRPr="005C082A">
        <w:rPr>
          <w:szCs w:val="24"/>
          <w:lang w:val="fr-FR"/>
        </w:rPr>
        <w:t xml:space="preserve">1.12.2019 թվականի դրությամբ ֆինանսական վիճակի մասին հաշվետվությունում չեն ավելացվել </w:t>
      </w:r>
      <w:r w:rsidR="00EB7A4C" w:rsidRPr="005C082A">
        <w:rPr>
          <w:szCs w:val="24"/>
          <w:lang w:val="fr-FR"/>
        </w:rPr>
        <w:t>ասֆալտբետոնե ճանապարհների</w:t>
      </w:r>
      <w:r w:rsidRPr="005C082A">
        <w:rPr>
          <w:szCs w:val="24"/>
          <w:lang w:val="fr-FR"/>
        </w:rPr>
        <w:t xml:space="preserve"> </w:t>
      </w:r>
      <w:r w:rsidRPr="005C082A">
        <w:rPr>
          <w:szCs w:val="24"/>
          <w:lang w:val="en-GB"/>
        </w:rPr>
        <w:t>հաշվեկշռային</w:t>
      </w:r>
      <w:r w:rsidRPr="005C082A">
        <w:rPr>
          <w:szCs w:val="24"/>
          <w:lang w:val="fr-FR"/>
        </w:rPr>
        <w:t xml:space="preserve"> </w:t>
      </w:r>
      <w:r w:rsidRPr="005C082A">
        <w:rPr>
          <w:szCs w:val="24"/>
          <w:lang w:val="en-GB"/>
        </w:rPr>
        <w:t>արժեքին։</w:t>
      </w:r>
    </w:p>
    <w:p w14:paraId="7CAF0976" w14:textId="4B98ACF1" w:rsidR="001035B2" w:rsidRPr="007158ED" w:rsidRDefault="001035B2" w:rsidP="00FF16B1">
      <w:pPr>
        <w:spacing w:before="240" w:after="0"/>
        <w:ind w:firstLine="567"/>
        <w:rPr>
          <w:b/>
          <w:sz w:val="20"/>
          <w:szCs w:val="20"/>
          <w:lang w:val="hy-AM"/>
        </w:rPr>
      </w:pPr>
      <w:r w:rsidRPr="007158ED">
        <w:rPr>
          <w:b/>
          <w:sz w:val="20"/>
          <w:szCs w:val="20"/>
          <w:lang w:val="hy-AM"/>
        </w:rPr>
        <w:t>Հաշվեքննության օբյեկտի առարկությունները և բացատրությունները։</w:t>
      </w:r>
    </w:p>
    <w:p w14:paraId="569402F8" w14:textId="77777777" w:rsidR="00342AC6" w:rsidRPr="007158ED" w:rsidRDefault="00342AC6">
      <w:pPr>
        <w:ind w:firstLine="567"/>
        <w:rPr>
          <w:bCs/>
          <w:sz w:val="20"/>
          <w:szCs w:val="20"/>
          <w:lang w:val="hy-AM"/>
        </w:rPr>
      </w:pPr>
      <w:r w:rsidRPr="007158ED">
        <w:rPr>
          <w:bCs/>
          <w:sz w:val="20"/>
          <w:szCs w:val="20"/>
          <w:lang w:val="hy-AM"/>
        </w:rPr>
        <w:lastRenderedPageBreak/>
        <w:t>Մ6 Վանաձոր-Ալավերդի-Վրաստանի սահման միջպետական նշանակության ճանապարհի վերականգնման և բարելավման ծրագրի շրջանակում ճանապարհի կմ0+000-կմ38+450 հատվածը շահագործման է ընդունվել 2018թ</w:t>
      </w:r>
      <w:r w:rsidRPr="007158ED">
        <w:rPr>
          <w:rFonts w:ascii="Cambria Math" w:hAnsi="Cambria Math" w:cs="Cambria Math"/>
          <w:bCs/>
          <w:sz w:val="20"/>
          <w:szCs w:val="20"/>
          <w:lang w:val="hy-AM"/>
        </w:rPr>
        <w:t>․</w:t>
      </w:r>
      <w:r w:rsidRPr="007158ED">
        <w:rPr>
          <w:bCs/>
          <w:sz w:val="20"/>
          <w:szCs w:val="20"/>
          <w:lang w:val="hy-AM"/>
        </w:rPr>
        <w:t xml:space="preserve"> դեկտեմբերի 25-ին և իրականացված</w:t>
      </w:r>
      <w:r w:rsidRPr="00FF16B1">
        <w:rPr>
          <w:bCs/>
          <w:sz w:val="20"/>
          <w:szCs w:val="20"/>
          <w:lang w:val="hy-AM"/>
        </w:rPr>
        <w:t xml:space="preserve"> </w:t>
      </w:r>
      <w:r w:rsidRPr="007158ED">
        <w:rPr>
          <w:bCs/>
          <w:sz w:val="20"/>
          <w:szCs w:val="20"/>
          <w:lang w:val="hy-AM"/>
        </w:rPr>
        <w:t>19,356,173.9 հազ. դրամի կապիտալ ծախսումները</w:t>
      </w:r>
      <w:r w:rsidRPr="007158ED">
        <w:rPr>
          <w:bCs/>
          <w:sz w:val="20"/>
          <w:szCs w:val="20"/>
          <w:lang w:val="fr-FR"/>
        </w:rPr>
        <w:t xml:space="preserve"> </w:t>
      </w:r>
      <w:r w:rsidRPr="007158ED">
        <w:rPr>
          <w:bCs/>
          <w:sz w:val="20"/>
          <w:szCs w:val="20"/>
          <w:lang w:val="hy-AM"/>
        </w:rPr>
        <w:t xml:space="preserve"> պետք է ավելացվեին </w:t>
      </w:r>
      <w:r w:rsidRPr="007158ED">
        <w:rPr>
          <w:bCs/>
          <w:sz w:val="20"/>
          <w:szCs w:val="20"/>
          <w:lang w:val="fr-FR"/>
        </w:rPr>
        <w:t xml:space="preserve">Մ-6 </w:t>
      </w:r>
      <w:r w:rsidRPr="007158ED">
        <w:rPr>
          <w:bCs/>
          <w:sz w:val="20"/>
          <w:szCs w:val="20"/>
          <w:lang w:val="hy-AM"/>
        </w:rPr>
        <w:t>Վանաձոր</w:t>
      </w:r>
      <w:r w:rsidRPr="007158ED">
        <w:rPr>
          <w:bCs/>
          <w:sz w:val="20"/>
          <w:szCs w:val="20"/>
          <w:lang w:val="fr-FR"/>
        </w:rPr>
        <w:t>-</w:t>
      </w:r>
      <w:r w:rsidRPr="007158ED">
        <w:rPr>
          <w:bCs/>
          <w:sz w:val="20"/>
          <w:szCs w:val="20"/>
          <w:lang w:val="hy-AM"/>
        </w:rPr>
        <w:t>Ալավերդի</w:t>
      </w:r>
      <w:r w:rsidRPr="007158ED">
        <w:rPr>
          <w:bCs/>
          <w:sz w:val="20"/>
          <w:szCs w:val="20"/>
          <w:lang w:val="fr-FR"/>
        </w:rPr>
        <w:t>-</w:t>
      </w:r>
      <w:r w:rsidRPr="007158ED">
        <w:rPr>
          <w:bCs/>
          <w:sz w:val="20"/>
          <w:szCs w:val="20"/>
          <w:lang w:val="hy-AM"/>
        </w:rPr>
        <w:t>Վրաստանի</w:t>
      </w:r>
      <w:r w:rsidRPr="007158ED">
        <w:rPr>
          <w:bCs/>
          <w:sz w:val="20"/>
          <w:szCs w:val="20"/>
          <w:lang w:val="fr-FR"/>
        </w:rPr>
        <w:t xml:space="preserve"> </w:t>
      </w:r>
      <w:r w:rsidRPr="007158ED">
        <w:rPr>
          <w:bCs/>
          <w:sz w:val="20"/>
          <w:szCs w:val="20"/>
          <w:lang w:val="hy-AM"/>
        </w:rPr>
        <w:t>սահման</w:t>
      </w:r>
      <w:r w:rsidRPr="007158ED">
        <w:rPr>
          <w:bCs/>
          <w:sz w:val="20"/>
          <w:szCs w:val="20"/>
          <w:lang w:val="fr-FR"/>
        </w:rPr>
        <w:t xml:space="preserve"> </w:t>
      </w:r>
      <w:r w:rsidRPr="007158ED">
        <w:rPr>
          <w:bCs/>
          <w:sz w:val="20"/>
          <w:szCs w:val="20"/>
          <w:lang w:val="hy-AM"/>
        </w:rPr>
        <w:t>միջպետական</w:t>
      </w:r>
      <w:r w:rsidRPr="007158ED">
        <w:rPr>
          <w:bCs/>
          <w:sz w:val="20"/>
          <w:szCs w:val="20"/>
          <w:lang w:val="fr-FR"/>
        </w:rPr>
        <w:t xml:space="preserve"> </w:t>
      </w:r>
      <w:r w:rsidRPr="007158ED">
        <w:rPr>
          <w:bCs/>
          <w:sz w:val="20"/>
          <w:szCs w:val="20"/>
          <w:lang w:val="hy-AM"/>
        </w:rPr>
        <w:t>նշանակության</w:t>
      </w:r>
      <w:r w:rsidRPr="007158ED">
        <w:rPr>
          <w:bCs/>
          <w:sz w:val="20"/>
          <w:szCs w:val="20"/>
          <w:lang w:val="fr-FR"/>
        </w:rPr>
        <w:t xml:space="preserve"> </w:t>
      </w:r>
      <w:r w:rsidRPr="007158ED">
        <w:rPr>
          <w:bCs/>
          <w:sz w:val="20"/>
          <w:szCs w:val="20"/>
          <w:lang w:val="hy-AM"/>
        </w:rPr>
        <w:t>ճանապարհի</w:t>
      </w:r>
      <w:r w:rsidRPr="007158ED">
        <w:rPr>
          <w:bCs/>
          <w:sz w:val="20"/>
          <w:szCs w:val="20"/>
          <w:lang w:val="fr-FR"/>
        </w:rPr>
        <w:t xml:space="preserve"> </w:t>
      </w:r>
      <w:r w:rsidRPr="007158ED">
        <w:rPr>
          <w:bCs/>
          <w:sz w:val="20"/>
          <w:szCs w:val="20"/>
          <w:lang w:val="hy-AM"/>
        </w:rPr>
        <w:t>հաշվեկշռային</w:t>
      </w:r>
      <w:r w:rsidRPr="007158ED">
        <w:rPr>
          <w:bCs/>
          <w:sz w:val="20"/>
          <w:szCs w:val="20"/>
          <w:lang w:val="fr-FR"/>
        </w:rPr>
        <w:t xml:space="preserve"> </w:t>
      </w:r>
      <w:r w:rsidRPr="007158ED">
        <w:rPr>
          <w:bCs/>
          <w:sz w:val="20"/>
          <w:szCs w:val="20"/>
          <w:lang w:val="hy-AM"/>
        </w:rPr>
        <w:t>արժեքին Տրանսպորտի, կապի և տեղեկատվական տեխնոլոգիաների նախարարության կողմից։</w:t>
      </w:r>
    </w:p>
    <w:p w14:paraId="0742D17E" w14:textId="77777777" w:rsidR="00342AC6" w:rsidRPr="007158ED" w:rsidRDefault="00342AC6">
      <w:pPr>
        <w:rPr>
          <w:bCs/>
          <w:sz w:val="20"/>
          <w:szCs w:val="20"/>
          <w:lang w:val="hy-AM"/>
        </w:rPr>
      </w:pPr>
      <w:r w:rsidRPr="007158ED">
        <w:rPr>
          <w:bCs/>
          <w:sz w:val="20"/>
          <w:szCs w:val="20"/>
          <w:lang w:val="hy-AM"/>
        </w:rPr>
        <w:t>Հարցի վերաբերյալ ներկայիս Բարձր տեխնոլոգիական արդյունաբերության նախարարության հետ պարզաբանելուց հետո կտրվի լրացուցիչ պարզաբանում։</w:t>
      </w:r>
    </w:p>
    <w:p w14:paraId="620AF14C" w14:textId="32F1A6DF" w:rsidR="001035B2" w:rsidRPr="007158ED" w:rsidRDefault="001035B2" w:rsidP="00FF16B1">
      <w:pPr>
        <w:spacing w:before="240" w:after="0"/>
        <w:ind w:firstLine="567"/>
        <w:rPr>
          <w:b/>
          <w:sz w:val="20"/>
          <w:szCs w:val="20"/>
          <w:lang w:val="hy-AM"/>
        </w:rPr>
      </w:pPr>
      <w:r w:rsidRPr="007158ED">
        <w:rPr>
          <w:b/>
          <w:sz w:val="20"/>
          <w:szCs w:val="20"/>
          <w:lang w:val="hy-AM"/>
        </w:rPr>
        <w:t>Հաշվեքննողի մեկնաբանությունը։</w:t>
      </w:r>
    </w:p>
    <w:p w14:paraId="7B9B7660" w14:textId="65FFEA78" w:rsidR="00342AC6" w:rsidRPr="007158ED" w:rsidRDefault="00342AC6" w:rsidP="00FF16B1">
      <w:pPr>
        <w:spacing w:before="240" w:after="0"/>
        <w:ind w:firstLine="567"/>
        <w:rPr>
          <w:sz w:val="20"/>
          <w:szCs w:val="20"/>
          <w:lang w:val="hy-AM"/>
        </w:rPr>
      </w:pPr>
      <w:r w:rsidRPr="007158ED">
        <w:rPr>
          <w:sz w:val="20"/>
          <w:szCs w:val="20"/>
          <w:lang w:val="hy-AM"/>
        </w:rPr>
        <w:t>Անհամապատասխանությունը չի առարկվել։</w:t>
      </w:r>
    </w:p>
    <w:p w14:paraId="72171B81" w14:textId="48BC30F1" w:rsidR="005D44B2" w:rsidRPr="005C082A" w:rsidRDefault="000F79B2" w:rsidP="00CB7FEB">
      <w:pPr>
        <w:ind w:firstLine="567"/>
        <w:rPr>
          <w:b/>
          <w:i/>
          <w:szCs w:val="24"/>
          <w:lang w:val="hy-AM"/>
        </w:rPr>
      </w:pPr>
      <w:r w:rsidRPr="005C082A">
        <w:rPr>
          <w:b/>
          <w:i/>
          <w:szCs w:val="24"/>
          <w:lang w:val="hy-AM"/>
        </w:rPr>
        <w:t>5</w:t>
      </w:r>
      <w:r w:rsidR="005D44B2" w:rsidRPr="005C082A">
        <w:rPr>
          <w:b/>
          <w:i/>
          <w:szCs w:val="24"/>
          <w:lang w:val="hy-AM"/>
        </w:rPr>
        <w:t>.</w:t>
      </w:r>
      <w:r w:rsidRPr="005C082A">
        <w:rPr>
          <w:b/>
          <w:i/>
          <w:szCs w:val="24"/>
          <w:lang w:val="fr-FR"/>
        </w:rPr>
        <w:t>3</w:t>
      </w:r>
      <w:r w:rsidR="005D44B2" w:rsidRPr="005C082A">
        <w:rPr>
          <w:b/>
          <w:i/>
          <w:szCs w:val="24"/>
          <w:lang w:val="fr-FR"/>
        </w:rPr>
        <w:t>.</w:t>
      </w:r>
      <w:r w:rsidR="005D44B2" w:rsidRPr="005C082A">
        <w:rPr>
          <w:b/>
          <w:szCs w:val="24"/>
          <w:lang w:val="hy-AM"/>
        </w:rPr>
        <w:t xml:space="preserve"> </w:t>
      </w:r>
      <w:r w:rsidR="005D44B2" w:rsidRPr="005C082A">
        <w:rPr>
          <w:b/>
          <w:i/>
          <w:szCs w:val="24"/>
          <w:lang w:val="hy-AM"/>
        </w:rPr>
        <w:t>Առկա է անհամապատասխանություն ՀՀՇՆ IV-11.05.02-99-ի (ավտոմոբիլային ճանապարհներ) 8.14 կետի պահանջի հետ։</w:t>
      </w:r>
    </w:p>
    <w:p w14:paraId="7B8719B9" w14:textId="52512B41" w:rsidR="005D44B2" w:rsidRPr="005C082A" w:rsidRDefault="005D44B2" w:rsidP="00CB7FEB">
      <w:pPr>
        <w:ind w:firstLine="567"/>
        <w:rPr>
          <w:szCs w:val="24"/>
          <w:lang w:val="hy-AM"/>
        </w:rPr>
      </w:pPr>
      <w:r w:rsidRPr="005C082A">
        <w:rPr>
          <w:szCs w:val="24"/>
          <w:lang w:val="hy-AM"/>
        </w:rPr>
        <w:t>Համաձայն 02.09.2016թ-ին կնքված N TS-M6 խորհրդատվական ծառայությունների մատուցման պայմանագրի ՊԸՊ-ի և ՊՀՊ-ի 1.1 և 3.1 կետերի և շինարարական աշխատանքների կատարման համար 01.09.2016թ-ին, 30.08.2016թ-ին և 22.08.2016թ-ին կնքված N M6-ICB/CW-01-1 (Լոտ 1), N M6-ICB/CW-01-2 (Լոտ 2) և M6 ICB/CW-01-3 (Լոտ 3) պայմանագրերի ՊԸՊ և ՊՀՊ 3.1 կետերի՝ պայմանագրերի օրենսդրությունը ՀՀ օրենսդրությունն է։</w:t>
      </w:r>
    </w:p>
    <w:p w14:paraId="08F2C3C6" w14:textId="73A329C8" w:rsidR="005D44B2" w:rsidRDefault="005D44B2" w:rsidP="00CB7FEB">
      <w:pPr>
        <w:ind w:firstLine="567"/>
        <w:rPr>
          <w:szCs w:val="24"/>
          <w:lang w:val="hy-AM"/>
        </w:rPr>
      </w:pPr>
      <w:r w:rsidRPr="005C082A">
        <w:rPr>
          <w:szCs w:val="24"/>
          <w:lang w:val="hy-AM"/>
        </w:rPr>
        <w:t xml:space="preserve">Համաձայն ՀՀՇՆ IV-11.05.02-99-ի (ավտոմոբիլային ճանապարհներ) 8.14 կետի պահանջի ճանապարհային պատվածքի ծակոտկեն (խոշորահատիկ) ասֆալտբետոնե շերտի բարձրությունը պետք է նշանակվի հաշվարկով, սակայն՝ ոչ պակաս </w:t>
      </w:r>
      <w:r w:rsidRPr="005C082A">
        <w:rPr>
          <w:b/>
          <w:i/>
          <w:szCs w:val="24"/>
          <w:u w:val="single"/>
          <w:lang w:val="hy-AM"/>
        </w:rPr>
        <w:t>6սմ-ից</w:t>
      </w:r>
      <w:r w:rsidRPr="005C082A">
        <w:rPr>
          <w:szCs w:val="24"/>
          <w:lang w:val="hy-AM"/>
        </w:rPr>
        <w:t xml:space="preserve">, մինչդեռ բոլոր երեք լոտերի նախագծերով և պայմանագրերով նախատեսվել և ամսական կատարողականներով հաշվարկվել և վճարվել </w:t>
      </w:r>
      <w:r w:rsidR="000F79B2" w:rsidRPr="005C082A">
        <w:rPr>
          <w:szCs w:val="24"/>
          <w:lang w:val="hy-AM"/>
        </w:rPr>
        <w:t xml:space="preserve">են </w:t>
      </w:r>
      <w:r w:rsidRPr="005C082A">
        <w:rPr>
          <w:szCs w:val="24"/>
          <w:lang w:val="hy-AM"/>
        </w:rPr>
        <w:t>24</w:t>
      </w:r>
      <w:r w:rsidR="008E2D79" w:rsidRPr="00650A93">
        <w:rPr>
          <w:szCs w:val="24"/>
          <w:lang w:val="hy-AM"/>
        </w:rPr>
        <w:t>2790</w:t>
      </w:r>
      <w:r w:rsidRPr="005C082A">
        <w:rPr>
          <w:szCs w:val="24"/>
          <w:lang w:val="hy-AM"/>
        </w:rPr>
        <w:t xml:space="preserve">քմ </w:t>
      </w:r>
      <w:r w:rsidRPr="005C082A">
        <w:rPr>
          <w:b/>
          <w:i/>
          <w:szCs w:val="24"/>
          <w:u w:val="single"/>
          <w:lang w:val="hy-AM"/>
        </w:rPr>
        <w:t>5սմ</w:t>
      </w:r>
      <w:r w:rsidRPr="005C082A">
        <w:rPr>
          <w:szCs w:val="24"/>
          <w:lang w:val="hy-AM"/>
        </w:rPr>
        <w:t xml:space="preserve"> հաստությամբ խոշորահատիկ ասֆալտբետոնե շերտի կառուցման աշխատանքներ գումարով </w:t>
      </w:r>
      <w:r w:rsidRPr="005C082A">
        <w:rPr>
          <w:b/>
          <w:i/>
          <w:szCs w:val="24"/>
          <w:u w:val="single"/>
          <w:lang w:val="hy-AM"/>
        </w:rPr>
        <w:t>1,389,942.90 հազ. դրամի</w:t>
      </w:r>
      <w:r w:rsidRPr="005C082A">
        <w:rPr>
          <w:szCs w:val="24"/>
          <w:lang w:val="hy-AM"/>
        </w:rPr>
        <w:t>, որից Լոտ 1-ով 89450քմ գումարով 448,144.50 հազ. դրամի Լոտ 2-ով 92900քմ գումարով 557,400.00 հազ. դրամի և Լոտ 3-ով 60440քմ գումարով 384,398.40 հազ. դրամի։</w:t>
      </w:r>
    </w:p>
    <w:p w14:paraId="42460FC2" w14:textId="413A08F8" w:rsidR="001035B2" w:rsidRDefault="001035B2" w:rsidP="001035B2">
      <w:pPr>
        <w:spacing w:before="240" w:after="0" w:line="240" w:lineRule="auto"/>
        <w:ind w:firstLine="567"/>
        <w:rPr>
          <w:b/>
          <w:sz w:val="20"/>
          <w:szCs w:val="20"/>
          <w:lang w:val="hy-AM"/>
        </w:rPr>
      </w:pPr>
      <w:r>
        <w:rPr>
          <w:b/>
          <w:sz w:val="20"/>
          <w:szCs w:val="20"/>
          <w:lang w:val="hy-AM"/>
        </w:rPr>
        <w:t>Հաշվեքննության օբյեկտի առարկությունները և բացատրությունները։</w:t>
      </w:r>
    </w:p>
    <w:p w14:paraId="5E9391F5" w14:textId="77777777" w:rsidR="00342AC6" w:rsidRPr="007158ED" w:rsidRDefault="00342AC6">
      <w:pPr>
        <w:ind w:firstLine="567"/>
        <w:rPr>
          <w:rFonts w:eastAsia="Calibri" w:cs="Arial"/>
          <w:sz w:val="20"/>
          <w:szCs w:val="20"/>
          <w:lang w:val="hy-AM"/>
        </w:rPr>
      </w:pPr>
      <w:r w:rsidRPr="007158ED">
        <w:rPr>
          <w:rFonts w:eastAsia="Calibri" w:cs="Arial"/>
          <w:sz w:val="20"/>
          <w:szCs w:val="20"/>
          <w:lang w:val="hy-AM"/>
        </w:rPr>
        <w:t>Նշված անհամապատասխանությունը վերաբերվում է միայն նախագծին և չի կարող վերագրվել ծրագրի շինարարական աշխատանքներին, քանի որ</w:t>
      </w:r>
    </w:p>
    <w:p w14:paraId="5E5346C2" w14:textId="77777777" w:rsidR="00342AC6" w:rsidRPr="007158ED" w:rsidRDefault="00342AC6">
      <w:pPr>
        <w:ind w:firstLine="567"/>
        <w:rPr>
          <w:rFonts w:eastAsia="Calibri" w:cs="Arial"/>
          <w:sz w:val="20"/>
          <w:szCs w:val="20"/>
          <w:lang w:val="hy-AM"/>
        </w:rPr>
      </w:pPr>
      <w:r w:rsidRPr="007158ED">
        <w:rPr>
          <w:rFonts w:eastAsia="Calibri" w:cs="Arial"/>
          <w:sz w:val="20"/>
          <w:szCs w:val="20"/>
          <w:lang w:val="hy-AM"/>
        </w:rPr>
        <w:t>1</w:t>
      </w:r>
      <w:r w:rsidRPr="00B46B9E">
        <w:rPr>
          <w:rFonts w:ascii="Cambria Math" w:eastAsia="Calibri" w:hAnsi="Cambria Math" w:cs="Cambria Math"/>
          <w:sz w:val="20"/>
          <w:szCs w:val="20"/>
          <w:lang w:val="hy-AM"/>
        </w:rPr>
        <w:t>․</w:t>
      </w:r>
      <w:r w:rsidRPr="00FF16B1">
        <w:rPr>
          <w:rFonts w:eastAsia="Calibri" w:cs="Arial"/>
          <w:sz w:val="20"/>
          <w:szCs w:val="20"/>
          <w:lang w:val="hy-AM"/>
        </w:rPr>
        <w:t xml:space="preserve"> </w:t>
      </w:r>
      <w:r w:rsidRPr="007158ED">
        <w:rPr>
          <w:rFonts w:eastAsia="Calibri" w:cs="Arial"/>
          <w:sz w:val="20"/>
          <w:szCs w:val="20"/>
          <w:lang w:val="hy-AM"/>
        </w:rPr>
        <w:t xml:space="preserve">Նախագիծն անցել է փորձաքննություն և փորձաքննության եզրակացության մեջ որևէ դիտողություն կամ առաջարկություն չի արձանագրվել ծակոտկեն (խոշորահատիկ) ասֆալտբետոնե շերտի 5սմ հաստության վերաբերյալ։ Ավելին՝ «ՀՀ նախագծերի պետական արտագերատեսչական </w:t>
      </w:r>
      <w:r w:rsidRPr="007158ED">
        <w:rPr>
          <w:rFonts w:eastAsia="Calibri" w:cs="Arial"/>
          <w:sz w:val="20"/>
          <w:szCs w:val="20"/>
          <w:lang w:val="hy-AM"/>
        </w:rPr>
        <w:lastRenderedPageBreak/>
        <w:t xml:space="preserve">փորձաքննություն» ՓԲԸ-ի կողմից 20.10.2015թ-ի թիվ 17/ՊՓ-378/1 գրությամբ տրամադրած փորձագիտական եզրակացությամբ հավաստվել է նախագծի համապատասխանությունը ՀՀ օրենսդրության և նորմատիվա-տեխնիկական փաստաթղթերի պարտադիր պահանջներին։ </w:t>
      </w:r>
    </w:p>
    <w:p w14:paraId="78BBCC74" w14:textId="3ACC5186" w:rsidR="00342AC6" w:rsidRPr="007158ED" w:rsidRDefault="00342AC6">
      <w:pPr>
        <w:ind w:firstLine="567"/>
        <w:rPr>
          <w:rFonts w:eastAsia="Calibri" w:cs="Arial"/>
          <w:sz w:val="20"/>
          <w:szCs w:val="20"/>
          <w:lang w:val="hy-AM"/>
        </w:rPr>
      </w:pPr>
      <w:r w:rsidRPr="007158ED">
        <w:rPr>
          <w:rFonts w:eastAsia="Calibri" w:cs="Arial"/>
          <w:sz w:val="20"/>
          <w:szCs w:val="20"/>
          <w:lang w:val="hy-AM"/>
        </w:rPr>
        <w:t>2</w:t>
      </w:r>
      <w:r w:rsidRPr="00B46B9E">
        <w:rPr>
          <w:rFonts w:ascii="Cambria Math" w:eastAsia="Calibri" w:hAnsi="Cambria Math" w:cs="Cambria Math"/>
          <w:sz w:val="20"/>
          <w:szCs w:val="20"/>
          <w:lang w:val="hy-AM"/>
        </w:rPr>
        <w:t>․</w:t>
      </w:r>
      <w:r w:rsidRPr="00FF16B1">
        <w:rPr>
          <w:rFonts w:eastAsia="Calibri" w:cs="Arial"/>
          <w:sz w:val="20"/>
          <w:szCs w:val="20"/>
          <w:lang w:val="hy-AM"/>
        </w:rPr>
        <w:t xml:space="preserve"> </w:t>
      </w:r>
      <w:r w:rsidRPr="007158ED">
        <w:rPr>
          <w:rFonts w:eastAsia="Calibri" w:cs="Arial"/>
          <w:sz w:val="20"/>
          <w:szCs w:val="20"/>
          <w:lang w:val="hy-AM"/>
        </w:rPr>
        <w:t>Կապալառուների հետ պայմանագրերը կնքվել են Փորձաքննության դրական եզրակացություն ստացած նախագծի հիման վրա։</w:t>
      </w:r>
    </w:p>
    <w:p w14:paraId="579F78F2" w14:textId="77777777" w:rsidR="00342AC6" w:rsidRPr="007158ED" w:rsidRDefault="00342AC6">
      <w:pPr>
        <w:ind w:firstLine="567"/>
        <w:rPr>
          <w:rFonts w:eastAsia="Calibri" w:cs="Arial"/>
          <w:sz w:val="20"/>
          <w:szCs w:val="20"/>
          <w:lang w:val="hy-AM"/>
        </w:rPr>
      </w:pPr>
      <w:r w:rsidRPr="007158ED">
        <w:rPr>
          <w:rFonts w:eastAsia="Calibri" w:cs="Arial"/>
          <w:sz w:val="20"/>
          <w:szCs w:val="20"/>
          <w:lang w:val="hy-AM"/>
        </w:rPr>
        <w:t>3</w:t>
      </w:r>
      <w:r w:rsidRPr="007158ED">
        <w:rPr>
          <w:rFonts w:ascii="Cambria Math" w:eastAsia="Calibri" w:hAnsi="Cambria Math" w:cs="Cambria Math"/>
          <w:sz w:val="20"/>
          <w:szCs w:val="20"/>
          <w:lang w:val="hy-AM"/>
        </w:rPr>
        <w:t>․</w:t>
      </w:r>
      <w:r w:rsidRPr="007158ED">
        <w:rPr>
          <w:rFonts w:eastAsia="Calibri" w:cs="Arial"/>
          <w:sz w:val="20"/>
          <w:szCs w:val="20"/>
          <w:lang w:val="hy-AM"/>
        </w:rPr>
        <w:t xml:space="preserve"> 5սմ հաստությամբ խոշորահատիկ ասֆալտբետոնե</w:t>
      </w:r>
      <w:r w:rsidRPr="007158ED">
        <w:rPr>
          <w:sz w:val="20"/>
          <w:szCs w:val="20"/>
          <w:lang w:val="hy-AM"/>
        </w:rPr>
        <w:t xml:space="preserve"> շերտի կառուցման աշխատանքներն ընդունվել և վճարվել են նախագծին համապատասխան իրականացված աշխատանքների դիմաց։</w:t>
      </w:r>
    </w:p>
    <w:p w14:paraId="6A76EDF4" w14:textId="5A32CFB6" w:rsidR="00342AC6" w:rsidRPr="007158ED" w:rsidRDefault="00342AC6" w:rsidP="00FF16B1">
      <w:pPr>
        <w:spacing w:before="240" w:after="0"/>
        <w:ind w:firstLine="567"/>
        <w:rPr>
          <w:b/>
          <w:sz w:val="20"/>
          <w:szCs w:val="20"/>
          <w:lang w:val="hy-AM"/>
        </w:rPr>
      </w:pPr>
      <w:r w:rsidRPr="007158ED">
        <w:rPr>
          <w:sz w:val="20"/>
          <w:szCs w:val="20"/>
          <w:lang w:val="hy-AM"/>
        </w:rPr>
        <w:t xml:space="preserve"> </w:t>
      </w:r>
      <w:r w:rsidRPr="007158ED">
        <w:rPr>
          <w:i/>
          <w:iCs/>
          <w:sz w:val="20"/>
          <w:szCs w:val="20"/>
          <w:lang w:val="hy-AM"/>
        </w:rPr>
        <w:t xml:space="preserve">Արձանագրության մեջ նշված </w:t>
      </w:r>
      <w:r w:rsidRPr="007158ED">
        <w:rPr>
          <w:bCs/>
          <w:i/>
          <w:iCs/>
          <w:sz w:val="20"/>
          <w:szCs w:val="20"/>
          <w:lang w:val="hy-AM"/>
        </w:rPr>
        <w:t>5սմ</w:t>
      </w:r>
      <w:r w:rsidRPr="007158ED">
        <w:rPr>
          <w:i/>
          <w:iCs/>
          <w:sz w:val="20"/>
          <w:szCs w:val="20"/>
          <w:lang w:val="hy-AM"/>
        </w:rPr>
        <w:t xml:space="preserve"> հաստությամբ խոշորահատիկ ասֆալտբետոնե շերտի ընդհանուր մակերեսը չի համապատասխանում ըստ լոտերի նշված մակերեսներին։</w:t>
      </w:r>
    </w:p>
    <w:p w14:paraId="14D75966" w14:textId="35DBC880" w:rsidR="001035B2" w:rsidRPr="007158ED" w:rsidRDefault="001035B2" w:rsidP="00FF16B1">
      <w:pPr>
        <w:spacing w:before="240" w:after="0"/>
        <w:ind w:firstLine="567"/>
        <w:rPr>
          <w:b/>
          <w:sz w:val="20"/>
          <w:szCs w:val="20"/>
          <w:lang w:val="hy-AM"/>
        </w:rPr>
      </w:pPr>
      <w:r w:rsidRPr="007158ED">
        <w:rPr>
          <w:b/>
          <w:sz w:val="20"/>
          <w:szCs w:val="20"/>
          <w:lang w:val="hy-AM"/>
        </w:rPr>
        <w:t>Հաշվեքննողի մեկնաբանությունը։</w:t>
      </w:r>
    </w:p>
    <w:p w14:paraId="369C263C" w14:textId="0C566CE7" w:rsidR="00B23659" w:rsidRPr="00FF16B1" w:rsidRDefault="00342AC6" w:rsidP="00FF16B1">
      <w:pPr>
        <w:spacing w:before="240" w:after="0"/>
        <w:ind w:firstLine="567"/>
        <w:rPr>
          <w:sz w:val="20"/>
          <w:szCs w:val="20"/>
          <w:lang w:val="hy-AM"/>
        </w:rPr>
      </w:pPr>
      <w:r w:rsidRPr="007158ED">
        <w:rPr>
          <w:sz w:val="20"/>
          <w:szCs w:val="20"/>
          <w:lang w:val="hy-AM"/>
        </w:rPr>
        <w:t xml:space="preserve">Չի ընդունվում քանի որ </w:t>
      </w:r>
    </w:p>
    <w:p w14:paraId="780A99BE" w14:textId="4AA62ECE" w:rsidR="00B23659" w:rsidRPr="007158ED" w:rsidRDefault="00B23659" w:rsidP="00FF16B1">
      <w:pPr>
        <w:pStyle w:val="NormalWeb"/>
        <w:shd w:val="clear" w:color="auto" w:fill="FFFFFF"/>
        <w:spacing w:before="0" w:beforeAutospacing="0" w:after="0" w:afterAutospacing="0" w:line="276" w:lineRule="auto"/>
        <w:ind w:firstLine="567"/>
        <w:jc w:val="both"/>
        <w:rPr>
          <w:rFonts w:ascii="GHEA Grapalat" w:hAnsi="GHEA Grapalat"/>
          <w:color w:val="000000"/>
          <w:sz w:val="20"/>
          <w:szCs w:val="20"/>
          <w:shd w:val="clear" w:color="auto" w:fill="FFFFFF"/>
          <w:lang w:val="hy-AM"/>
        </w:rPr>
      </w:pPr>
      <w:r w:rsidRPr="00FF16B1">
        <w:rPr>
          <w:rFonts w:ascii="GHEA Grapalat" w:hAnsi="GHEA Grapalat"/>
          <w:sz w:val="20"/>
          <w:szCs w:val="20"/>
          <w:lang w:val="hy-AM"/>
        </w:rPr>
        <w:t xml:space="preserve">- </w:t>
      </w:r>
      <w:r w:rsidRPr="007158ED">
        <w:rPr>
          <w:rFonts w:ascii="GHEA Grapalat" w:hAnsi="GHEA Grapalat"/>
          <w:sz w:val="20"/>
          <w:szCs w:val="20"/>
          <w:lang w:val="hy-AM"/>
        </w:rPr>
        <w:t xml:space="preserve">Համաձայն «Քաղաքաշինության մասին» ՀՀ օրենքի 16-րդ հոդվածի 3-րդ մասի </w:t>
      </w:r>
      <w:r w:rsidRPr="007158ED">
        <w:rPr>
          <w:rFonts w:ascii="GHEA Grapalat" w:hAnsi="GHEA Grapalat"/>
          <w:color w:val="000000"/>
          <w:sz w:val="20"/>
          <w:szCs w:val="20"/>
          <w:shd w:val="clear" w:color="auto" w:fill="FFFFFF"/>
          <w:lang w:val="hy-AM"/>
        </w:rPr>
        <w:t xml:space="preserve">քաղաքաշինական նորմատիվ-տեխնիկական փաստաթղթերի պահանջների կատարումը պարտադիր է քաղաքաշինական գործունեության սուբյեկտների համար։ </w:t>
      </w:r>
      <w:r w:rsidRPr="00FF16B1">
        <w:rPr>
          <w:rFonts w:ascii="GHEA Grapalat" w:hAnsi="GHEA Grapalat"/>
          <w:color w:val="000000"/>
          <w:sz w:val="20"/>
          <w:szCs w:val="20"/>
          <w:shd w:val="clear" w:color="auto" w:fill="FFFFFF"/>
          <w:lang w:val="hy-AM"/>
        </w:rPr>
        <w:t xml:space="preserve">Համաձայն «Ավտոմոբիլային ճանապարհների մասին» ՀՀ օրենքի 16.1 կետի 1-ին մասի պահանջի </w:t>
      </w:r>
      <w:r w:rsidR="003E3BCD" w:rsidRPr="00FF16B1">
        <w:rPr>
          <w:rFonts w:ascii="GHEA Grapalat" w:hAnsi="GHEA Grapalat"/>
          <w:color w:val="000000"/>
          <w:sz w:val="20"/>
          <w:szCs w:val="20"/>
          <w:shd w:val="clear" w:color="auto" w:fill="FFFFFF"/>
          <w:lang w:val="hy-AM"/>
        </w:rPr>
        <w:t>տրանսպորտի բնագավառում վերահսկողություն իրականացնող տեսչական մարմինը իրականացնում է վերահսկողություն ա</w:t>
      </w:r>
      <w:r w:rsidRPr="00FF16B1">
        <w:rPr>
          <w:rFonts w:ascii="GHEA Grapalat" w:hAnsi="GHEA Grapalat"/>
          <w:color w:val="000000"/>
          <w:sz w:val="20"/>
          <w:szCs w:val="20"/>
          <w:shd w:val="clear" w:color="auto" w:fill="FFFFFF"/>
          <w:lang w:val="hy-AM"/>
        </w:rPr>
        <w:t>վտոմոբիլային ճանապարհների և դրանց ճանապարհային երթևեկության կազմակերպման կահավորանքի՝ սույն օրենքով սահմանված նախագծման, շինարարության (տեղադրման), շահագործման, պահպանման և նորոգման նկատմամբ</w:t>
      </w:r>
      <w:r w:rsidR="003E3BCD" w:rsidRPr="00FF16B1">
        <w:rPr>
          <w:rFonts w:ascii="GHEA Grapalat" w:hAnsi="GHEA Grapalat"/>
          <w:color w:val="000000"/>
          <w:sz w:val="20"/>
          <w:szCs w:val="20"/>
          <w:shd w:val="clear" w:color="auto" w:fill="FFFFFF"/>
          <w:lang w:val="hy-AM"/>
        </w:rPr>
        <w:t xml:space="preserve">։ </w:t>
      </w:r>
      <w:r w:rsidRPr="007158ED">
        <w:rPr>
          <w:rFonts w:ascii="GHEA Grapalat" w:hAnsi="GHEA Grapalat"/>
          <w:color w:val="000000"/>
          <w:sz w:val="20"/>
          <w:szCs w:val="20"/>
          <w:shd w:val="clear" w:color="auto" w:fill="FFFFFF"/>
          <w:lang w:val="hy-AM"/>
        </w:rPr>
        <w:t xml:space="preserve">Համաձայն ՀՀ կառավարության 2015 թվականի մարտի 15-ի թիվ 596-Ն որոշման Հավելվածի  </w:t>
      </w:r>
      <w:r w:rsidRPr="007158ED">
        <w:rPr>
          <w:rStyle w:val="Strong"/>
          <w:rFonts w:ascii="GHEA Grapalat" w:eastAsiaTheme="majorEastAsia" w:hAnsi="GHEA Grapalat"/>
          <w:b w:val="0"/>
          <w:color w:val="000000"/>
          <w:sz w:val="20"/>
          <w:szCs w:val="20"/>
          <w:shd w:val="clear" w:color="auto" w:fill="FFFFFF"/>
          <w:lang w:val="hy-AM"/>
        </w:rPr>
        <w:t>N</w:t>
      </w:r>
      <w:r w:rsidRPr="007158ED">
        <w:rPr>
          <w:rStyle w:val="Strong"/>
          <w:rFonts w:ascii="Calibri" w:eastAsiaTheme="majorEastAsia" w:hAnsi="Calibri" w:cs="Calibri"/>
          <w:b w:val="0"/>
          <w:color w:val="000000"/>
          <w:sz w:val="20"/>
          <w:szCs w:val="20"/>
          <w:shd w:val="clear" w:color="auto" w:fill="FFFFFF"/>
          <w:lang w:val="hy-AM"/>
        </w:rPr>
        <w:t> </w:t>
      </w:r>
      <w:r w:rsidRPr="007158ED">
        <w:rPr>
          <w:rStyle w:val="Strong"/>
          <w:rFonts w:ascii="GHEA Grapalat" w:eastAsiaTheme="majorEastAsia" w:hAnsi="GHEA Grapalat" w:cs="Calibri"/>
          <w:b w:val="0"/>
          <w:color w:val="000000"/>
          <w:sz w:val="20"/>
          <w:szCs w:val="20"/>
          <w:shd w:val="clear" w:color="auto" w:fill="FFFFFF"/>
          <w:lang w:val="hy-AM"/>
        </w:rPr>
        <w:t xml:space="preserve"> 1-ի</w:t>
      </w:r>
      <w:r w:rsidRPr="00FF16B1">
        <w:rPr>
          <w:rStyle w:val="Strong"/>
          <w:rFonts w:ascii="GHEA Grapalat" w:eastAsiaTheme="majorEastAsia" w:hAnsi="GHEA Grapalat" w:cs="Calibri"/>
          <w:color w:val="000000"/>
          <w:sz w:val="20"/>
          <w:szCs w:val="20"/>
          <w:shd w:val="clear" w:color="auto" w:fill="FFFFFF"/>
          <w:lang w:val="hy-AM"/>
        </w:rPr>
        <w:t xml:space="preserve"> </w:t>
      </w:r>
      <w:r w:rsidRPr="007158ED">
        <w:rPr>
          <w:rFonts w:ascii="GHEA Grapalat" w:hAnsi="GHEA Grapalat"/>
          <w:color w:val="000000"/>
          <w:sz w:val="20"/>
          <w:szCs w:val="20"/>
          <w:shd w:val="clear" w:color="auto" w:fill="FFFFFF"/>
          <w:lang w:val="hy-AM"/>
        </w:rPr>
        <w:t xml:space="preserve">6-րդ կետի պահանջի կառուցապատման նպատակով քաղաքաշինական գործունեությունն իրականացվում է ՀՀ օրենսդրության և նորմատիվատեխնիկական փաստաթղթերի պահանջներին համապատասխան։ Համաձայն նույն հավելվածի 12-րդ կետի պահանջի  շինարարական աշխատանքներն իրականացնող կապալառուն և տեխնիկական հսկողությունն իրականացնող կազմակերպությունը պարտավոր են ապահովել շինարարական աշխատանքների համապատասխանությունը նորմատիվատեխնիկական փաստաթղթերի պահանջներին։ Համաձայն ՀՀ քաղաքաշինության նախարարի 1998 թվականի ապրիլի 28-ի  </w:t>
      </w:r>
      <w:r w:rsidRPr="00FF16B1">
        <w:rPr>
          <w:rFonts w:ascii="GHEA Grapalat" w:hAnsi="GHEA Grapalat"/>
          <w:color w:val="000000"/>
          <w:sz w:val="20"/>
          <w:szCs w:val="20"/>
          <w:shd w:val="clear" w:color="auto" w:fill="FFFFFF"/>
          <w:lang w:val="hy-AM"/>
        </w:rPr>
        <w:t>N</w:t>
      </w:r>
      <w:r w:rsidRPr="007158ED">
        <w:rPr>
          <w:rFonts w:ascii="GHEA Grapalat" w:hAnsi="GHEA Grapalat"/>
          <w:sz w:val="20"/>
          <w:szCs w:val="20"/>
          <w:lang w:val="hy-AM"/>
        </w:rPr>
        <w:t xml:space="preserve"> 44 հրամանով հաստատված «Շինարարության որակի տեխնիկակակն հսկողությանյան իրականացման հրահանգի» 1.2 կետի և  4-րդ կետի 3-րդ պարբերության տեխնիկական հսկողությունն իրականացնողը պարտավոր է </w:t>
      </w:r>
      <w:r w:rsidRPr="007158ED">
        <w:rPr>
          <w:rFonts w:ascii="GHEA Grapalat" w:hAnsi="GHEA Grapalat" w:cs="Arial Unicode"/>
          <w:color w:val="000000"/>
          <w:sz w:val="20"/>
          <w:szCs w:val="20"/>
          <w:lang w:val="hy-AM"/>
        </w:rPr>
        <w:t>պարբերաբար</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ստուգել</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բոլոր</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կատարված</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շինմոնտաժային</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աշխատանքների</w:t>
      </w:r>
      <w:r w:rsidRPr="007158ED">
        <w:rPr>
          <w:rFonts w:ascii="GHEA Grapalat" w:hAnsi="GHEA Grapalat"/>
          <w:color w:val="000000"/>
          <w:sz w:val="20"/>
          <w:szCs w:val="20"/>
          <w:lang w:val="hy-AM"/>
        </w:rPr>
        <w:t xml:space="preserve"> </w:t>
      </w:r>
      <w:r w:rsidRPr="007158ED">
        <w:rPr>
          <w:rFonts w:ascii="GHEA Grapalat" w:hAnsi="GHEA Grapalat" w:cs="Arial Unicode"/>
          <w:color w:val="000000"/>
          <w:sz w:val="20"/>
          <w:szCs w:val="20"/>
          <w:lang w:val="hy-AM"/>
        </w:rPr>
        <w:t>համապատասխանությունը</w:t>
      </w:r>
      <w:r w:rsidRPr="007158ED">
        <w:rPr>
          <w:rFonts w:ascii="GHEA Grapalat" w:hAnsi="GHEA Grapalat"/>
          <w:color w:val="000000"/>
          <w:sz w:val="20"/>
          <w:szCs w:val="20"/>
          <w:lang w:val="hy-AM"/>
        </w:rPr>
        <w:t xml:space="preserve"> </w:t>
      </w:r>
      <w:r w:rsidRPr="007158ED">
        <w:rPr>
          <w:rFonts w:ascii="Calibri" w:hAnsi="Calibri" w:cs="Calibri"/>
          <w:color w:val="000000"/>
          <w:sz w:val="20"/>
          <w:szCs w:val="20"/>
          <w:shd w:val="clear" w:color="auto" w:fill="FFFFFF"/>
          <w:lang w:val="hy-AM"/>
        </w:rPr>
        <w:t> </w:t>
      </w:r>
      <w:r w:rsidRPr="007158ED">
        <w:rPr>
          <w:rFonts w:ascii="GHEA Grapalat" w:hAnsi="GHEA Grapalat" w:cs="Arial Unicode"/>
          <w:color w:val="000000"/>
          <w:sz w:val="20"/>
          <w:szCs w:val="20"/>
          <w:shd w:val="clear" w:color="auto" w:fill="FFFFFF"/>
          <w:lang w:val="hy-AM"/>
        </w:rPr>
        <w:t>շինարարական</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նորմերին</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և</w:t>
      </w:r>
      <w:r w:rsidRPr="007158ED">
        <w:rPr>
          <w:rFonts w:ascii="GHEA Grapalat" w:hAnsi="GHEA Grapalat"/>
          <w:color w:val="000000"/>
          <w:sz w:val="20"/>
          <w:szCs w:val="20"/>
          <w:shd w:val="clear" w:color="auto" w:fill="FFFFFF"/>
          <w:lang w:val="hy-AM"/>
        </w:rPr>
        <w:t xml:space="preserve"> </w:t>
      </w:r>
      <w:r w:rsidRPr="007158ED">
        <w:rPr>
          <w:rFonts w:ascii="GHEA Grapalat" w:hAnsi="GHEA Grapalat" w:cs="Arial Unicode"/>
          <w:color w:val="000000"/>
          <w:sz w:val="20"/>
          <w:szCs w:val="20"/>
          <w:shd w:val="clear" w:color="auto" w:fill="FFFFFF"/>
          <w:lang w:val="hy-AM"/>
        </w:rPr>
        <w:t>կանոններին</w:t>
      </w:r>
      <w:r w:rsidRPr="007158ED">
        <w:rPr>
          <w:rFonts w:ascii="GHEA Grapalat" w:hAnsi="GHEA Grapalat"/>
          <w:color w:val="000000"/>
          <w:sz w:val="20"/>
          <w:szCs w:val="20"/>
          <w:shd w:val="clear" w:color="auto" w:fill="FFFFFF"/>
          <w:lang w:val="hy-AM"/>
        </w:rPr>
        <w:t>։</w:t>
      </w:r>
    </w:p>
    <w:p w14:paraId="4BA79537" w14:textId="220DD6BF" w:rsidR="00342AC6" w:rsidRPr="007158ED" w:rsidRDefault="003E3BCD" w:rsidP="00FF16B1">
      <w:pPr>
        <w:spacing w:before="240" w:after="0"/>
        <w:ind w:firstLine="567"/>
        <w:rPr>
          <w:sz w:val="20"/>
          <w:szCs w:val="20"/>
          <w:lang w:val="hy-AM"/>
        </w:rPr>
      </w:pPr>
      <w:r w:rsidRPr="00FF16B1">
        <w:rPr>
          <w:sz w:val="20"/>
          <w:szCs w:val="20"/>
          <w:lang w:val="hy-AM"/>
        </w:rPr>
        <w:t>- Ա</w:t>
      </w:r>
      <w:r w:rsidR="00342AC6" w:rsidRPr="007158ED">
        <w:rPr>
          <w:sz w:val="20"/>
          <w:szCs w:val="20"/>
          <w:lang w:val="hy-AM"/>
        </w:rPr>
        <w:t>նհամապատասխանությունում նշված փաստը ապացուցում է, որ Փորձագիտական եզրակացությունն առ այն</w:t>
      </w:r>
      <w:r w:rsidR="00172E19" w:rsidRPr="007158ED">
        <w:rPr>
          <w:sz w:val="20"/>
          <w:szCs w:val="20"/>
          <w:lang w:val="hy-AM"/>
        </w:rPr>
        <w:t>,</w:t>
      </w:r>
      <w:r w:rsidR="00342AC6" w:rsidRPr="007158ED">
        <w:rPr>
          <w:sz w:val="20"/>
          <w:szCs w:val="20"/>
          <w:lang w:val="hy-AM"/>
        </w:rPr>
        <w:t xml:space="preserve"> որ նախագիծը համապատասխանում է </w:t>
      </w:r>
      <w:r w:rsidR="00342AC6" w:rsidRPr="007158ED">
        <w:rPr>
          <w:rFonts w:eastAsia="Calibri" w:cs="Arial"/>
          <w:sz w:val="20"/>
          <w:szCs w:val="20"/>
          <w:lang w:val="hy-AM"/>
        </w:rPr>
        <w:t>ՀՀ օրենսդրության և նորմատիվա-տեխնիկական փաստաթղթերի պարտադիր պահանջներին չի համապատասխանում իրականությանը։</w:t>
      </w:r>
    </w:p>
    <w:p w14:paraId="0EF6904B" w14:textId="0441E953" w:rsidR="001035B2" w:rsidRPr="00FF16B1" w:rsidRDefault="003E3BCD">
      <w:pPr>
        <w:ind w:firstLine="567"/>
        <w:rPr>
          <w:sz w:val="20"/>
          <w:szCs w:val="20"/>
          <w:lang w:val="hy-AM"/>
        </w:rPr>
      </w:pPr>
      <w:r w:rsidRPr="00FF16B1">
        <w:rPr>
          <w:bCs/>
          <w:iCs/>
          <w:sz w:val="20"/>
          <w:szCs w:val="20"/>
          <w:lang w:val="hy-AM"/>
        </w:rPr>
        <w:t xml:space="preserve">- </w:t>
      </w:r>
      <w:r w:rsidR="00172E19" w:rsidRPr="007158ED">
        <w:rPr>
          <w:bCs/>
          <w:iCs/>
          <w:sz w:val="20"/>
          <w:szCs w:val="20"/>
          <w:lang w:val="hy-AM"/>
        </w:rPr>
        <w:t>5սմ</w:t>
      </w:r>
      <w:r w:rsidR="00172E19" w:rsidRPr="007158ED">
        <w:rPr>
          <w:iCs/>
          <w:sz w:val="20"/>
          <w:szCs w:val="20"/>
          <w:lang w:val="hy-AM"/>
        </w:rPr>
        <w:t xml:space="preserve"> հաստությամբ խոշորահատիկ ասֆալտբետոնե շերտի ընդհանուր մակերեսը տեխնիկական վրիպակի պատճառով արձանագրությունում սխալ էր նշվել, ինչը ճշգրտել ենք։</w:t>
      </w:r>
    </w:p>
    <w:p w14:paraId="644D3641" w14:textId="019F8744" w:rsidR="005D44B2" w:rsidRPr="005C082A" w:rsidRDefault="000F79B2" w:rsidP="00CB7FEB">
      <w:pPr>
        <w:ind w:firstLine="567"/>
        <w:rPr>
          <w:b/>
          <w:i/>
          <w:szCs w:val="24"/>
          <w:lang w:val="hy-AM"/>
        </w:rPr>
      </w:pPr>
      <w:r w:rsidRPr="005C082A">
        <w:rPr>
          <w:b/>
          <w:i/>
          <w:szCs w:val="24"/>
          <w:lang w:val="hy-AM"/>
        </w:rPr>
        <w:lastRenderedPageBreak/>
        <w:t>5.4</w:t>
      </w:r>
      <w:r w:rsidR="005D44B2" w:rsidRPr="005C082A">
        <w:rPr>
          <w:b/>
          <w:i/>
          <w:szCs w:val="24"/>
          <w:lang w:val="hy-AM"/>
        </w:rPr>
        <w:t xml:space="preserve">. Առկա է անհամապատասխանություն </w:t>
      </w:r>
      <w:r w:rsidR="00E03C32" w:rsidRPr="005C082A">
        <w:rPr>
          <w:b/>
          <w:i/>
          <w:szCs w:val="24"/>
          <w:lang w:val="hy-AM"/>
        </w:rPr>
        <w:t>«</w:t>
      </w:r>
      <w:r w:rsidR="005D44B2" w:rsidRPr="005C082A">
        <w:rPr>
          <w:b/>
          <w:i/>
          <w:szCs w:val="24"/>
          <w:lang w:val="hy-AM"/>
        </w:rPr>
        <w:t>Ավտոմոբիլային ճանապարհների մասին</w:t>
      </w:r>
      <w:r w:rsidR="00E03C32" w:rsidRPr="005C082A">
        <w:rPr>
          <w:b/>
          <w:i/>
          <w:szCs w:val="24"/>
          <w:lang w:val="hy-AM"/>
        </w:rPr>
        <w:t>»</w:t>
      </w:r>
      <w:r w:rsidR="005D44B2" w:rsidRPr="005C082A">
        <w:rPr>
          <w:b/>
          <w:i/>
          <w:szCs w:val="24"/>
          <w:lang w:val="hy-AM"/>
        </w:rPr>
        <w:t xml:space="preserve"> ՀՀ օրենքի 12-րդ հոդվածի 3-րդ մասի պահանջի հետ</w:t>
      </w:r>
    </w:p>
    <w:p w14:paraId="012745B7" w14:textId="6FE3F184" w:rsidR="005D44B2" w:rsidRPr="005C082A" w:rsidRDefault="005D44B2" w:rsidP="00CB7FEB">
      <w:pPr>
        <w:ind w:firstLine="567"/>
        <w:rPr>
          <w:szCs w:val="24"/>
          <w:lang w:val="hy-AM"/>
        </w:rPr>
      </w:pPr>
      <w:r w:rsidRPr="005C082A">
        <w:rPr>
          <w:szCs w:val="24"/>
          <w:lang w:val="hy-AM"/>
        </w:rPr>
        <w:t>Համաձայն</w:t>
      </w:r>
      <w:r w:rsidRPr="005C082A">
        <w:rPr>
          <w:b/>
          <w:szCs w:val="24"/>
          <w:lang w:val="hy-AM"/>
        </w:rPr>
        <w:t xml:space="preserve"> </w:t>
      </w:r>
      <w:r w:rsidR="00E03C32" w:rsidRPr="005C082A">
        <w:rPr>
          <w:szCs w:val="24"/>
          <w:lang w:val="hy-AM"/>
        </w:rPr>
        <w:t>«</w:t>
      </w:r>
      <w:r w:rsidRPr="005C082A">
        <w:rPr>
          <w:szCs w:val="24"/>
          <w:lang w:val="hy-AM"/>
        </w:rPr>
        <w:t>Ավտոմոբիլային ճանապարհների մասին</w:t>
      </w:r>
      <w:r w:rsidR="00E03C32" w:rsidRPr="005C082A">
        <w:rPr>
          <w:szCs w:val="24"/>
          <w:lang w:val="hy-AM"/>
        </w:rPr>
        <w:t>»</w:t>
      </w:r>
      <w:r w:rsidRPr="005C082A">
        <w:rPr>
          <w:szCs w:val="24"/>
          <w:lang w:val="hy-AM"/>
        </w:rPr>
        <w:t xml:space="preserve"> ՀՀ օրենքի 12-րդ հոդվածի 3-րդ մասի ը</w:t>
      </w:r>
      <w:r w:rsidRPr="005C082A">
        <w:rPr>
          <w:color w:val="000000"/>
          <w:szCs w:val="24"/>
          <w:shd w:val="clear" w:color="auto" w:fill="FFFFFF"/>
          <w:lang w:val="hy-AM"/>
        </w:rPr>
        <w:t>նդհանուր օգտագործման պետական ավտոմոբիլային ճանապարհների օտարման շերտում և (կամ) պաշտպանական գոտում գտնվող հաղորդակցուղիները և այլ շինություններն ու հարմարանքները ճանապարհի վերակառուցման կամ նորոգման դեպքում պետք է տեղափոխվեն կամ վերաշինվեն դրանց սեփականատիրոջ հաշվին:</w:t>
      </w:r>
    </w:p>
    <w:p w14:paraId="5AAA38BF" w14:textId="53F81937" w:rsidR="005D44B2" w:rsidRPr="005C082A" w:rsidRDefault="00DF2E7E" w:rsidP="00CB7FEB">
      <w:pPr>
        <w:ind w:firstLine="567"/>
        <w:rPr>
          <w:szCs w:val="24"/>
          <w:lang w:val="hy-AM"/>
        </w:rPr>
      </w:pPr>
      <w:r w:rsidRPr="005C082A">
        <w:rPr>
          <w:szCs w:val="24"/>
          <w:lang w:val="hy-AM"/>
        </w:rPr>
        <w:t>N M6-ICB/CW-01-1 (Լոտ 1)</w:t>
      </w:r>
      <w:r w:rsidRPr="00FF16B1">
        <w:rPr>
          <w:szCs w:val="24"/>
          <w:lang w:val="hy-AM"/>
        </w:rPr>
        <w:t xml:space="preserve"> </w:t>
      </w:r>
      <w:r w:rsidR="005D44B2" w:rsidRPr="005C082A">
        <w:rPr>
          <w:szCs w:val="24"/>
          <w:lang w:val="hy-AM"/>
        </w:rPr>
        <w:t xml:space="preserve">և </w:t>
      </w:r>
      <w:r w:rsidRPr="005C082A">
        <w:rPr>
          <w:szCs w:val="24"/>
          <w:lang w:val="hy-AM"/>
        </w:rPr>
        <w:t>N M6-ICB/CW-01-</w:t>
      </w:r>
      <w:r w:rsidRPr="00FF16B1">
        <w:rPr>
          <w:szCs w:val="24"/>
          <w:lang w:val="hy-AM"/>
        </w:rPr>
        <w:t>3</w:t>
      </w:r>
      <w:r w:rsidRPr="005C082A">
        <w:rPr>
          <w:szCs w:val="24"/>
          <w:lang w:val="hy-AM"/>
        </w:rPr>
        <w:t xml:space="preserve"> (Լոտ</w:t>
      </w:r>
      <w:r>
        <w:rPr>
          <w:szCs w:val="24"/>
          <w:lang w:val="hy-AM"/>
        </w:rPr>
        <w:t xml:space="preserve"> 3</w:t>
      </w:r>
      <w:r w:rsidRPr="005C082A">
        <w:rPr>
          <w:szCs w:val="24"/>
          <w:lang w:val="hy-AM"/>
        </w:rPr>
        <w:t>)</w:t>
      </w:r>
      <w:r w:rsidRPr="00FF16B1">
        <w:rPr>
          <w:szCs w:val="24"/>
          <w:lang w:val="hy-AM"/>
        </w:rPr>
        <w:t xml:space="preserve"> պայմանագրերի</w:t>
      </w:r>
      <w:r w:rsidR="005D44B2" w:rsidRPr="005C082A">
        <w:rPr>
          <w:szCs w:val="24"/>
          <w:lang w:val="hy-AM"/>
        </w:rPr>
        <w:t xml:space="preserve"> շրջանակ</w:t>
      </w:r>
      <w:r w:rsidRPr="00FF16B1">
        <w:rPr>
          <w:szCs w:val="24"/>
          <w:lang w:val="hy-AM"/>
        </w:rPr>
        <w:t>ներ</w:t>
      </w:r>
      <w:r w:rsidR="005D44B2" w:rsidRPr="005C082A">
        <w:rPr>
          <w:szCs w:val="24"/>
          <w:lang w:val="hy-AM"/>
        </w:rPr>
        <w:t xml:space="preserve">ում Փոփոխության հրահանգներով նախատեսվել և ամսեկան կատարողական ակտերով հաշվարկվել և </w:t>
      </w:r>
      <w:r w:rsidRPr="00FF16B1">
        <w:rPr>
          <w:szCs w:val="24"/>
          <w:lang w:val="hy-AM"/>
        </w:rPr>
        <w:t>Ծ</w:t>
      </w:r>
      <w:r w:rsidR="00272AB4">
        <w:rPr>
          <w:szCs w:val="24"/>
          <w:lang w:val="hy-AM"/>
        </w:rPr>
        <w:t>րագր</w:t>
      </w:r>
      <w:r w:rsidRPr="00FF16B1">
        <w:rPr>
          <w:szCs w:val="24"/>
          <w:lang w:val="hy-AM"/>
        </w:rPr>
        <w:t xml:space="preserve">ի միջոցների </w:t>
      </w:r>
      <w:r w:rsidR="005D44B2" w:rsidRPr="005C082A">
        <w:rPr>
          <w:szCs w:val="24"/>
          <w:lang w:val="hy-AM"/>
        </w:rPr>
        <w:t xml:space="preserve">վճարվել են </w:t>
      </w:r>
      <w:r w:rsidR="005D44B2" w:rsidRPr="005C082A">
        <w:rPr>
          <w:b/>
          <w:i/>
          <w:szCs w:val="24"/>
          <w:u w:val="single"/>
          <w:lang w:val="hy-AM"/>
        </w:rPr>
        <w:t>1,195,638.91 հազ. դրամի</w:t>
      </w:r>
      <w:r w:rsidR="005D44B2" w:rsidRPr="005C082A">
        <w:rPr>
          <w:szCs w:val="24"/>
          <w:lang w:val="hy-AM"/>
        </w:rPr>
        <w:t xml:space="preserve"> հաղորդակցուղիների տեղափոխման աշխատանքներ, որից Լոտ 3-ով BEELINE-ի և ROSTELECOM-ի գոյություն ունեցող օպտիկամանրաթելային մալուխների տեղափոխման աշխատանքներ </w:t>
      </w:r>
      <w:r w:rsidR="005D44B2" w:rsidRPr="005C082A">
        <w:rPr>
          <w:i/>
          <w:szCs w:val="24"/>
          <w:u w:val="single"/>
          <w:lang w:val="hy-AM"/>
        </w:rPr>
        <w:t>173,920.80 հազ. դրամի</w:t>
      </w:r>
      <w:r w:rsidR="005D44B2" w:rsidRPr="005C082A">
        <w:rPr>
          <w:szCs w:val="24"/>
          <w:lang w:val="hy-AM"/>
        </w:rPr>
        <w:t xml:space="preserve">, Թուֆենկյան հանգստի գոտու և Ձորագետ համայնքի ջրագծերի տեղափոխման աշխատանքներ </w:t>
      </w:r>
      <w:r w:rsidR="005D44B2" w:rsidRPr="005C082A">
        <w:rPr>
          <w:i/>
          <w:szCs w:val="24"/>
          <w:u w:val="single"/>
          <w:lang w:val="hy-AM"/>
        </w:rPr>
        <w:t>52,405.20</w:t>
      </w:r>
      <w:r w:rsidR="005D44B2" w:rsidRPr="005C082A">
        <w:rPr>
          <w:b/>
          <w:i/>
          <w:szCs w:val="24"/>
          <w:u w:val="single"/>
          <w:lang w:val="hy-AM"/>
        </w:rPr>
        <w:t xml:space="preserve"> </w:t>
      </w:r>
      <w:r w:rsidR="005D44B2" w:rsidRPr="005C082A">
        <w:rPr>
          <w:szCs w:val="24"/>
          <w:lang w:val="hy-AM"/>
        </w:rPr>
        <w:t xml:space="preserve">հազ. դրամի և </w:t>
      </w:r>
      <w:r w:rsidR="00E03C32" w:rsidRPr="005C082A">
        <w:rPr>
          <w:szCs w:val="24"/>
          <w:lang w:val="hy-AM"/>
        </w:rPr>
        <w:t>«</w:t>
      </w:r>
      <w:r w:rsidR="005D44B2" w:rsidRPr="005C082A">
        <w:rPr>
          <w:szCs w:val="24"/>
          <w:lang w:val="hy-AM"/>
        </w:rPr>
        <w:t>Գազպրոմ Արմենիա</w:t>
      </w:r>
      <w:r w:rsidR="00E03C32" w:rsidRPr="005C082A">
        <w:rPr>
          <w:szCs w:val="24"/>
          <w:lang w:val="hy-AM"/>
        </w:rPr>
        <w:t>»</w:t>
      </w:r>
      <w:r w:rsidR="005D44B2" w:rsidRPr="005C082A">
        <w:rPr>
          <w:szCs w:val="24"/>
          <w:lang w:val="hy-AM"/>
        </w:rPr>
        <w:t xml:space="preserve"> ՓԲԸ-ի գազատարի տեղափոխման աշխատանքներ </w:t>
      </w:r>
      <w:r w:rsidR="005D44B2" w:rsidRPr="005C082A">
        <w:rPr>
          <w:i/>
          <w:szCs w:val="24"/>
          <w:u w:val="single"/>
          <w:lang w:val="hy-AM"/>
        </w:rPr>
        <w:t>22,299.60 հազ. դրամի</w:t>
      </w:r>
      <w:r w:rsidR="005D44B2" w:rsidRPr="005C082A">
        <w:rPr>
          <w:szCs w:val="24"/>
          <w:lang w:val="hy-AM"/>
        </w:rPr>
        <w:t xml:space="preserve">։ Լոտ 1-ով գոյություն ունեցող ջրագծերի տեղափոխում </w:t>
      </w:r>
      <w:r w:rsidR="005D44B2" w:rsidRPr="005C082A">
        <w:rPr>
          <w:i/>
          <w:szCs w:val="24"/>
          <w:u w:val="single"/>
          <w:lang w:val="hy-AM"/>
        </w:rPr>
        <w:t>775,226.12 հազ. դրամի</w:t>
      </w:r>
      <w:r w:rsidR="005D44B2" w:rsidRPr="005C082A">
        <w:rPr>
          <w:szCs w:val="24"/>
          <w:lang w:val="hy-AM"/>
        </w:rPr>
        <w:t xml:space="preserve"> և </w:t>
      </w:r>
      <w:r w:rsidR="00F20F9A" w:rsidRPr="005C082A">
        <w:rPr>
          <w:szCs w:val="24"/>
          <w:lang w:val="hy-AM"/>
        </w:rPr>
        <w:t>«</w:t>
      </w:r>
      <w:r w:rsidR="005D44B2" w:rsidRPr="005C082A">
        <w:rPr>
          <w:szCs w:val="24"/>
          <w:lang w:val="hy-AM"/>
        </w:rPr>
        <w:t>Գազպրոմ Արմենիա</w:t>
      </w:r>
      <w:r w:rsidR="00F20F9A" w:rsidRPr="005C082A">
        <w:rPr>
          <w:szCs w:val="24"/>
          <w:lang w:val="hy-AM"/>
        </w:rPr>
        <w:t>»</w:t>
      </w:r>
      <w:r w:rsidR="005D44B2" w:rsidRPr="005C082A">
        <w:rPr>
          <w:szCs w:val="24"/>
          <w:lang w:val="hy-AM"/>
        </w:rPr>
        <w:t xml:space="preserve"> ՓԲԸ-ի գազատարի տեղափոխում </w:t>
      </w:r>
      <w:r w:rsidR="005D44B2" w:rsidRPr="005C082A">
        <w:rPr>
          <w:i/>
          <w:szCs w:val="24"/>
          <w:u w:val="single"/>
          <w:lang w:val="hy-AM"/>
        </w:rPr>
        <w:t>84,475.68 հազ դրամի</w:t>
      </w:r>
      <w:r w:rsidR="005D44B2" w:rsidRPr="005C082A">
        <w:rPr>
          <w:szCs w:val="24"/>
          <w:lang w:val="hy-AM"/>
        </w:rPr>
        <w:t xml:space="preserve">։ Լոտ 2-ով  </w:t>
      </w:r>
      <w:r w:rsidR="00F20F9A" w:rsidRPr="005C082A">
        <w:rPr>
          <w:szCs w:val="24"/>
          <w:lang w:val="hy-AM"/>
        </w:rPr>
        <w:t>«</w:t>
      </w:r>
      <w:r w:rsidR="005D44B2" w:rsidRPr="005C082A">
        <w:rPr>
          <w:szCs w:val="24"/>
          <w:lang w:val="hy-AM"/>
        </w:rPr>
        <w:t>ՀԵԿ</w:t>
      </w:r>
      <w:r w:rsidR="00F20F9A" w:rsidRPr="005C082A">
        <w:rPr>
          <w:szCs w:val="24"/>
          <w:lang w:val="hy-AM"/>
        </w:rPr>
        <w:t>»</w:t>
      </w:r>
      <w:r w:rsidR="005D44B2" w:rsidRPr="005C082A">
        <w:rPr>
          <w:szCs w:val="24"/>
          <w:lang w:val="hy-AM"/>
        </w:rPr>
        <w:t xml:space="preserve"> ՓԲԸ-ի կապի օդային գծերը մալուխայիներով փոխարինելու աշխատանքներ </w:t>
      </w:r>
      <w:r w:rsidR="005D44B2" w:rsidRPr="005C082A">
        <w:rPr>
          <w:i/>
          <w:szCs w:val="24"/>
          <w:u w:val="single"/>
          <w:lang w:val="hy-AM"/>
        </w:rPr>
        <w:t>9,870,72 հազ</w:t>
      </w:r>
      <w:r w:rsidR="005D44B2" w:rsidRPr="005C082A">
        <w:rPr>
          <w:szCs w:val="24"/>
          <w:lang w:val="hy-AM"/>
        </w:rPr>
        <w:t xml:space="preserve">. դրամի, ջրի խողովակաշարի տեղափոխում </w:t>
      </w:r>
      <w:r w:rsidR="005D44B2" w:rsidRPr="005C082A">
        <w:rPr>
          <w:i/>
          <w:szCs w:val="24"/>
          <w:u w:val="single"/>
          <w:lang w:val="hy-AM"/>
        </w:rPr>
        <w:t>56,412.76 հազ. դրամի</w:t>
      </w:r>
      <w:r w:rsidR="005D44B2" w:rsidRPr="005C082A">
        <w:rPr>
          <w:szCs w:val="24"/>
          <w:lang w:val="hy-AM"/>
        </w:rPr>
        <w:t xml:space="preserve"> և </w:t>
      </w:r>
      <w:r w:rsidR="00F20F9A" w:rsidRPr="005C082A">
        <w:rPr>
          <w:szCs w:val="24"/>
          <w:lang w:val="hy-AM"/>
        </w:rPr>
        <w:t>«</w:t>
      </w:r>
      <w:r w:rsidR="005D44B2" w:rsidRPr="005C082A">
        <w:rPr>
          <w:szCs w:val="24"/>
          <w:lang w:val="hy-AM"/>
        </w:rPr>
        <w:t>Գազպրոմ Արմենիա</w:t>
      </w:r>
      <w:r w:rsidR="00F20F9A" w:rsidRPr="005C082A">
        <w:rPr>
          <w:szCs w:val="24"/>
          <w:lang w:val="hy-AM"/>
        </w:rPr>
        <w:t>»</w:t>
      </w:r>
      <w:r w:rsidR="005D44B2" w:rsidRPr="005C082A">
        <w:rPr>
          <w:szCs w:val="24"/>
          <w:lang w:val="hy-AM"/>
        </w:rPr>
        <w:t xml:space="preserve"> ՓԲԸ-ի գազատարի տեղափոխում </w:t>
      </w:r>
      <w:r w:rsidR="005D44B2" w:rsidRPr="005C082A">
        <w:rPr>
          <w:i/>
          <w:szCs w:val="24"/>
          <w:u w:val="single"/>
          <w:lang w:val="hy-AM"/>
        </w:rPr>
        <w:t>21,028.03 հազ. դրամի։</w:t>
      </w:r>
    </w:p>
    <w:p w14:paraId="4F4FEB3A" w14:textId="050F4598" w:rsidR="005D44B2" w:rsidRDefault="005D44B2" w:rsidP="00CB7FEB">
      <w:pPr>
        <w:ind w:firstLine="567"/>
        <w:rPr>
          <w:szCs w:val="24"/>
          <w:lang w:val="hy-AM"/>
        </w:rPr>
      </w:pPr>
      <w:r w:rsidRPr="005C082A">
        <w:rPr>
          <w:szCs w:val="24"/>
          <w:lang w:val="hy-AM"/>
        </w:rPr>
        <w:t xml:space="preserve">Բացի այդ չնայած նրան, որ </w:t>
      </w:r>
      <w:r w:rsidR="003E3471" w:rsidRPr="00FF16B1">
        <w:rPr>
          <w:szCs w:val="24"/>
          <w:lang w:val="hy-AM"/>
        </w:rPr>
        <w:t xml:space="preserve">Փոփոխության հրահանգներով </w:t>
      </w:r>
      <w:r w:rsidRPr="005C082A">
        <w:rPr>
          <w:szCs w:val="24"/>
          <w:lang w:val="hy-AM"/>
        </w:rPr>
        <w:t>նախատեսվել են իրականացնել հաղորդակցուղիների տեղափոխման աշխատանքներ, բոլոր դեպքերում նախագծերով նախատեսել և ամսեկան կատարողականներով հաշվարկվել են հնի ապամոնտաժման և ամբողջովին նոր նյութերով նոր հաղորդակցուղու կառուցման աշխատանքներ։</w:t>
      </w:r>
    </w:p>
    <w:p w14:paraId="46D4DD65" w14:textId="750F19DA" w:rsidR="001035B2" w:rsidRPr="007158ED" w:rsidRDefault="001035B2" w:rsidP="00FF16B1">
      <w:pPr>
        <w:spacing w:before="240" w:after="0"/>
        <w:ind w:firstLine="567"/>
        <w:rPr>
          <w:b/>
          <w:sz w:val="20"/>
          <w:szCs w:val="20"/>
          <w:lang w:val="hy-AM"/>
        </w:rPr>
      </w:pPr>
      <w:r w:rsidRPr="007158ED">
        <w:rPr>
          <w:b/>
          <w:sz w:val="20"/>
          <w:szCs w:val="20"/>
          <w:lang w:val="hy-AM"/>
        </w:rPr>
        <w:t>Հաշվեքննության օբյեկտի առարկությունները և բացատրությունները։</w:t>
      </w:r>
    </w:p>
    <w:p w14:paraId="367D0221" w14:textId="77777777" w:rsidR="00A74351" w:rsidRPr="007158ED" w:rsidRDefault="00A74351" w:rsidP="00FF16B1">
      <w:pPr>
        <w:ind w:firstLine="567"/>
        <w:rPr>
          <w:sz w:val="20"/>
          <w:szCs w:val="20"/>
          <w:lang w:val="hy-AM"/>
        </w:rPr>
      </w:pPr>
      <w:r w:rsidRPr="007158ED">
        <w:rPr>
          <w:sz w:val="20"/>
          <w:szCs w:val="20"/>
          <w:lang w:val="hy-AM"/>
        </w:rPr>
        <w:t xml:space="preserve">Ի սկզբանե ծրագրի հաղորդակցուղիների տեղափոխումը ծրագրի միջոցներով չի նախատեսվել՝ ելնելով հենց նշված օրենքի պահանջից, և պատվիրվել է առանձին նախագիծ հաղորդակցուղիների սեփականատերերի կողմից իրականացվելու համար։ Սակայն Տրանսպորտի և կապի նախարարությունում խորհրդակցության ժամանակ հաղորդակցուղիների սեփականատերերը հրաժարվել են տեղափոխել իրենց հաղորդակցուղիները՝ այդ նպատակով համապատասխան </w:t>
      </w:r>
      <w:r w:rsidRPr="007158ED">
        <w:rPr>
          <w:sz w:val="20"/>
          <w:szCs w:val="20"/>
          <w:lang w:val="hy-AM"/>
        </w:rPr>
        <w:lastRenderedPageBreak/>
        <w:t>միջոցներ նախատեսված չլինելու պատճառով։ Ուստի ծրագրի հիմնական աշխատանքները չհետաձգելու նպատակով և  Եվրոպական ներդրումային բանկի պահանջով հաղորդակցուղիների տեղափոխումը ընդգրկվել է ծրագրում՝ Պայմանագրերում կատարելով համապատասխան փոփոխություններ։</w:t>
      </w:r>
    </w:p>
    <w:p w14:paraId="74C77B42" w14:textId="4A837DE7" w:rsidR="00A74351" w:rsidRPr="007158ED" w:rsidRDefault="00A74351" w:rsidP="00FF16B1">
      <w:pPr>
        <w:ind w:firstLine="567"/>
        <w:rPr>
          <w:sz w:val="20"/>
          <w:szCs w:val="20"/>
          <w:lang w:val="hy-AM"/>
        </w:rPr>
      </w:pPr>
      <w:r w:rsidRPr="007158ED">
        <w:rPr>
          <w:sz w:val="20"/>
          <w:szCs w:val="20"/>
          <w:lang w:val="hy-AM"/>
        </w:rPr>
        <w:t xml:space="preserve">Ներկայումս մշակվում են օրենսդրական կարգավորման նոր մեխանիզմներ՝ հարցի լուծումը կանոնակարգելու համար։ </w:t>
      </w:r>
    </w:p>
    <w:p w14:paraId="28A3E5DE" w14:textId="77777777" w:rsidR="008228F7" w:rsidRPr="007158ED" w:rsidRDefault="008228F7" w:rsidP="00FF16B1">
      <w:pPr>
        <w:ind w:firstLine="567"/>
        <w:rPr>
          <w:sz w:val="20"/>
          <w:szCs w:val="20"/>
          <w:lang w:val="hy-AM"/>
        </w:rPr>
      </w:pPr>
      <w:r w:rsidRPr="007158ED">
        <w:rPr>
          <w:sz w:val="20"/>
          <w:szCs w:val="20"/>
          <w:lang w:val="hy-AM"/>
        </w:rPr>
        <w:t>Օգտագործվել են ամբողջովին նոր նյութեր, քանի որ հին հաղորդակցուղիները չէին կարող ապամոնտաժվել առանց նորերը կառուցելու և գործարկելու։</w:t>
      </w:r>
    </w:p>
    <w:p w14:paraId="6F3E405C" w14:textId="541B3669" w:rsidR="001035B2" w:rsidRPr="007158ED" w:rsidRDefault="001035B2" w:rsidP="00FF16B1">
      <w:pPr>
        <w:spacing w:before="240" w:after="0"/>
        <w:ind w:firstLine="567"/>
        <w:rPr>
          <w:b/>
          <w:sz w:val="20"/>
          <w:szCs w:val="20"/>
          <w:lang w:val="hy-AM"/>
        </w:rPr>
      </w:pPr>
      <w:r w:rsidRPr="007158ED">
        <w:rPr>
          <w:b/>
          <w:sz w:val="20"/>
          <w:szCs w:val="20"/>
          <w:lang w:val="hy-AM"/>
        </w:rPr>
        <w:t>Հաշվեքննողի մեկնաբանությունը։</w:t>
      </w:r>
    </w:p>
    <w:p w14:paraId="5F9615A0" w14:textId="43BB009F" w:rsidR="0069277C" w:rsidRPr="007158ED" w:rsidRDefault="0069277C" w:rsidP="00FF16B1">
      <w:pPr>
        <w:spacing w:before="240" w:after="0"/>
        <w:ind w:firstLine="567"/>
        <w:rPr>
          <w:sz w:val="20"/>
          <w:szCs w:val="20"/>
          <w:lang w:val="hy-AM"/>
        </w:rPr>
      </w:pPr>
      <w:r w:rsidRPr="007158ED">
        <w:rPr>
          <w:sz w:val="20"/>
          <w:szCs w:val="20"/>
          <w:lang w:val="hy-AM"/>
        </w:rPr>
        <w:t xml:space="preserve">Չի ընդունվում հետևյալ պատճառաբանությամբ. </w:t>
      </w:r>
    </w:p>
    <w:p w14:paraId="1BC8842D" w14:textId="0DC5C479" w:rsidR="0069277C" w:rsidRPr="00FF16B1" w:rsidRDefault="0069277C" w:rsidP="00FF16B1">
      <w:pPr>
        <w:spacing w:before="240" w:after="0"/>
        <w:ind w:firstLine="567"/>
        <w:rPr>
          <w:sz w:val="20"/>
          <w:szCs w:val="20"/>
          <w:lang w:val="hy-AM"/>
        </w:rPr>
      </w:pPr>
      <w:r w:rsidRPr="00FF16B1">
        <w:rPr>
          <w:sz w:val="20"/>
          <w:szCs w:val="20"/>
          <w:lang w:val="hy-AM"/>
        </w:rPr>
        <w:t>Հաղորդակցուղիների սեփականատերերի կողմից ներկայացված՝ «համապատասխան միջոցներ նախատեսված չլինելու» պատճառաբանությունը վերջիններիս չի ազատում օրենքով սահմանված պարտավորության կատարումից, իսկ պատվիրատուին չի զրկում այդ պարտավորությունը կատարելու վերաբերյալ պահանջ ներկայացնելու իրավասությունից:</w:t>
      </w:r>
    </w:p>
    <w:p w14:paraId="76837F25" w14:textId="0A943E4D" w:rsidR="0069277C" w:rsidRPr="007158ED" w:rsidRDefault="0069277C" w:rsidP="00FF16B1">
      <w:pPr>
        <w:spacing w:before="240" w:after="0"/>
        <w:ind w:firstLine="567"/>
        <w:rPr>
          <w:sz w:val="20"/>
          <w:szCs w:val="20"/>
          <w:lang w:val="hy-AM"/>
        </w:rPr>
      </w:pPr>
      <w:r w:rsidRPr="00FF16B1">
        <w:rPr>
          <w:sz w:val="20"/>
          <w:szCs w:val="20"/>
          <w:lang w:val="hy-AM"/>
        </w:rPr>
        <w:t>Օրենսդրությունից չբխող՝ «ծրագրի հիմնական աշխատանքները չհետաձգելու նպատակը (հանգամանքը) և Եվրոպական ներդրումային բանկի պահանջը» չէին կարող հիմք հանդիսանալ ծրագրով՝ վերը նշված իրավակարգավորմանն անհամապատասխան, նոր աշխատանքներ նախատեսելու և Պայմանագրում փոփոխություններ կատարելու համար:</w:t>
      </w:r>
    </w:p>
    <w:p w14:paraId="47FFEE54" w14:textId="7A251E98" w:rsidR="005D44B2" w:rsidRPr="005C082A" w:rsidRDefault="000F79B2" w:rsidP="00CB7FEB">
      <w:pPr>
        <w:ind w:firstLine="567"/>
        <w:rPr>
          <w:b/>
          <w:i/>
          <w:szCs w:val="24"/>
          <w:lang w:val="hy-AM"/>
        </w:rPr>
      </w:pPr>
      <w:r w:rsidRPr="005C082A">
        <w:rPr>
          <w:b/>
          <w:i/>
          <w:szCs w:val="24"/>
          <w:lang w:val="hy-AM"/>
        </w:rPr>
        <w:t>5.5</w:t>
      </w:r>
      <w:r w:rsidR="005D44B2" w:rsidRPr="005C082A">
        <w:rPr>
          <w:b/>
          <w:i/>
          <w:szCs w:val="24"/>
          <w:lang w:val="hy-AM"/>
        </w:rPr>
        <w:t>. Առկա է անհամապատասխանություն N M6-ICB/CW-01-1 (Լոտ 1), N M6-ICB/CW-01-2 (Լոտ 2) և M6 ICB/CW-01-3 (Լոտ 3) պայմանագրերի ՊԸՊ 37.1 կետի պահանջի հետ։</w:t>
      </w:r>
    </w:p>
    <w:p w14:paraId="4066F9B0" w14:textId="66161B66" w:rsidR="005D44B2" w:rsidRPr="005C082A" w:rsidRDefault="005D44B2" w:rsidP="00CB7FEB">
      <w:pPr>
        <w:ind w:firstLine="567"/>
        <w:rPr>
          <w:rFonts w:eastAsia="Times New Roman"/>
          <w:szCs w:val="24"/>
          <w:lang w:val="hy-AM"/>
        </w:rPr>
      </w:pPr>
      <w:r w:rsidRPr="005C082A">
        <w:rPr>
          <w:rFonts w:eastAsia="Times New Roman" w:cs="Calibri"/>
          <w:color w:val="000000"/>
          <w:szCs w:val="24"/>
          <w:lang w:val="hy-AM"/>
        </w:rPr>
        <w:t xml:space="preserve">Համաձայն ՊԸՊ-ի 37.1 կետի պահանջի, եթե </w:t>
      </w:r>
      <w:r w:rsidRPr="005C082A">
        <w:rPr>
          <w:rFonts w:eastAsia="Times New Roman"/>
          <w:szCs w:val="24"/>
          <w:lang w:val="hy-AM"/>
        </w:rPr>
        <w:t xml:space="preserve">աշխատանքի քանակը </w:t>
      </w:r>
      <w:r w:rsidRPr="005C082A">
        <w:rPr>
          <w:rFonts w:eastAsia="Times New Roman"/>
          <w:b/>
          <w:i/>
          <w:szCs w:val="24"/>
          <w:u w:val="single"/>
          <w:lang w:val="hy-AM"/>
        </w:rPr>
        <w:t>փոփոխվում է</w:t>
      </w:r>
      <w:r w:rsidRPr="005C082A">
        <w:rPr>
          <w:rFonts w:eastAsia="Times New Roman"/>
          <w:szCs w:val="24"/>
          <w:lang w:val="hy-AM"/>
        </w:rPr>
        <w:t xml:space="preserve"> ավելի քան 25 տոկոսով և դրա արդյունքում պայմանագրային գինը փոփոխվում է ավելի քան 1%-ով, ապա </w:t>
      </w:r>
      <w:r w:rsidR="004A534C" w:rsidRPr="005C082A">
        <w:rPr>
          <w:rFonts w:eastAsia="Times New Roman"/>
          <w:szCs w:val="24"/>
          <w:lang w:val="hy-AM"/>
        </w:rPr>
        <w:t xml:space="preserve">Ծրագրի ղեկավարը </w:t>
      </w:r>
      <w:r w:rsidRPr="005C082A">
        <w:rPr>
          <w:rFonts w:eastAsia="Times New Roman"/>
          <w:szCs w:val="24"/>
          <w:lang w:val="hy-AM"/>
        </w:rPr>
        <w:t xml:space="preserve">պետք է վերանայի դրույքաչափը կամ գինը։ </w:t>
      </w:r>
    </w:p>
    <w:p w14:paraId="1B6DEC1C" w14:textId="77777777" w:rsidR="001035B2" w:rsidRDefault="005D44B2" w:rsidP="00CB7FEB">
      <w:pPr>
        <w:ind w:firstLine="567"/>
        <w:rPr>
          <w:rFonts w:eastAsia="Times New Roman"/>
          <w:szCs w:val="24"/>
          <w:lang w:val="hy-AM"/>
        </w:rPr>
      </w:pPr>
      <w:r w:rsidRPr="005C082A">
        <w:rPr>
          <w:rFonts w:eastAsia="Times New Roman"/>
          <w:szCs w:val="24"/>
          <w:lang w:val="hy-AM"/>
        </w:rPr>
        <w:t xml:space="preserve">Փոփոխության հրահանգներով </w:t>
      </w:r>
      <w:r w:rsidRPr="005C082A">
        <w:rPr>
          <w:rFonts w:eastAsia="Times New Roman"/>
          <w:b/>
          <w:i/>
          <w:szCs w:val="24"/>
          <w:u w:val="single"/>
          <w:lang w:val="hy-AM"/>
        </w:rPr>
        <w:t>4,427,124.50 հազ. դրամի</w:t>
      </w:r>
      <w:r w:rsidRPr="005C082A">
        <w:rPr>
          <w:rFonts w:eastAsia="Times New Roman"/>
          <w:szCs w:val="24"/>
          <w:lang w:val="hy-AM"/>
        </w:rPr>
        <w:t xml:space="preserve"> 22 անվանում աշխատանքների քանակները փոփոխվել են ավելի քան 25%-ով և դրա արդյունքում պայմանագրային գինը փոփոխվել է ավելի քան 1%-ով, սակայն </w:t>
      </w:r>
      <w:r w:rsidR="004A534C" w:rsidRPr="005C082A">
        <w:rPr>
          <w:rFonts w:eastAsia="Times New Roman"/>
          <w:szCs w:val="24"/>
          <w:lang w:val="hy-AM"/>
        </w:rPr>
        <w:t xml:space="preserve">Ծրագրի ղեկավարի </w:t>
      </w:r>
      <w:r w:rsidRPr="005C082A">
        <w:rPr>
          <w:rFonts w:eastAsia="Times New Roman"/>
          <w:szCs w:val="24"/>
          <w:lang w:val="hy-AM"/>
        </w:rPr>
        <w:t>կողմից գնի վերանայում չի կատարվել և նոր գին չի կիրառվել (Լոտ 1-ով 10 անվանում աշխատանքներ գումարով 1,705,244.88 հազ. դրամի, Լոտ 2-ով 3 անվանում աշխատանքներ 553,250.90 հազ. դրամի և Լոտ 3-ով 9 անվանում աշխատանքներ 2,168,628.72 հազ. դրամի)։</w:t>
      </w:r>
      <w:r w:rsidRPr="005C082A">
        <w:rPr>
          <w:szCs w:val="24"/>
          <w:lang w:val="hy-AM"/>
        </w:rPr>
        <w:t xml:space="preserve"> Մասնավորապես, Լոտ 2-ով և Լոտ 3-ով, առանց գնի վերանայման, նվազեցվել են </w:t>
      </w:r>
      <w:r w:rsidRPr="005C082A">
        <w:rPr>
          <w:rFonts w:eastAsia="Times New Roman"/>
          <w:i/>
          <w:szCs w:val="24"/>
          <w:u w:val="single"/>
          <w:lang w:val="hy-AM"/>
        </w:rPr>
        <w:t>447,837.60 հազ. դրամ</w:t>
      </w:r>
      <w:r w:rsidRPr="005C082A">
        <w:rPr>
          <w:rFonts w:eastAsia="Times New Roman"/>
          <w:szCs w:val="24"/>
          <w:lang w:val="hy-AM"/>
        </w:rPr>
        <w:t xml:space="preserve"> գնահատված </w:t>
      </w:r>
      <w:r w:rsidRPr="005C082A">
        <w:rPr>
          <w:szCs w:val="24"/>
          <w:lang w:val="hy-AM"/>
        </w:rPr>
        <w:t xml:space="preserve">29126քմ  </w:t>
      </w:r>
      <w:r w:rsidRPr="005C082A">
        <w:rPr>
          <w:rFonts w:eastAsia="Times New Roman"/>
          <w:szCs w:val="24"/>
          <w:lang w:val="hy-AM"/>
        </w:rPr>
        <w:lastRenderedPageBreak/>
        <w:t xml:space="preserve">մետաղական ցանցերի համակարգով քարաթափոցներից պաշտպանության աշխատանքներ (MACCAFERRI կամ համապատասխան) այն դեպքում, երբ այդ աշխատանքների նախահաշվային արժեքը կազմում է  </w:t>
      </w:r>
      <w:r w:rsidRPr="005C082A">
        <w:rPr>
          <w:rFonts w:eastAsia="Times New Roman"/>
          <w:i/>
          <w:szCs w:val="24"/>
          <w:u w:val="single"/>
          <w:lang w:val="hy-AM"/>
        </w:rPr>
        <w:t>1,525,549.20 հազ. դրամ։</w:t>
      </w:r>
      <w:r w:rsidRPr="005C082A">
        <w:rPr>
          <w:rFonts w:eastAsia="Times New Roman"/>
          <w:szCs w:val="24"/>
          <w:lang w:val="hy-AM"/>
        </w:rPr>
        <w:t xml:space="preserve">   Լոտ 3-ով, առանց գնի վերանայման կրկնակի ավելացրել են հորատապայթեցման և ժայռային հանույթի աշխատանքները՝ այն սահմանելով 81596խմ և 80996խմ գումարով </w:t>
      </w:r>
      <w:r w:rsidRPr="005C082A">
        <w:rPr>
          <w:rFonts w:eastAsia="Times New Roman"/>
          <w:i/>
          <w:szCs w:val="24"/>
          <w:u w:val="single"/>
          <w:lang w:val="hy-AM"/>
        </w:rPr>
        <w:t>1,091,538.24 հազ. դրամ</w:t>
      </w:r>
      <w:r w:rsidRPr="005C082A">
        <w:rPr>
          <w:rFonts w:eastAsia="Times New Roman"/>
          <w:szCs w:val="24"/>
          <w:lang w:val="hy-AM"/>
        </w:rPr>
        <w:t xml:space="preserve"> այն դեպքում, երբ այդ աշխատանքների</w:t>
      </w:r>
      <w:r w:rsidR="00271706" w:rsidRPr="005C082A">
        <w:rPr>
          <w:rFonts w:eastAsia="Times New Roman"/>
          <w:szCs w:val="24"/>
          <w:lang w:val="hy-AM"/>
        </w:rPr>
        <w:t xml:space="preserve"> </w:t>
      </w:r>
      <w:r w:rsidRPr="005C082A">
        <w:rPr>
          <w:rFonts w:eastAsia="Times New Roman"/>
          <w:szCs w:val="24"/>
          <w:lang w:val="hy-AM"/>
        </w:rPr>
        <w:t xml:space="preserve">նախահաշվային արժեքները՝ </w:t>
      </w:r>
      <w:r w:rsidRPr="005C082A">
        <w:rPr>
          <w:szCs w:val="24"/>
          <w:lang w:val="hy-AM"/>
        </w:rPr>
        <w:t xml:space="preserve">ՀՀ կառավարության </w:t>
      </w:r>
      <w:r w:rsidRPr="005C082A">
        <w:rPr>
          <w:color w:val="000000"/>
          <w:szCs w:val="24"/>
          <w:shd w:val="clear" w:color="auto" w:fill="FFFFFF"/>
          <w:lang w:val="hy-AM"/>
        </w:rPr>
        <w:t>23</w:t>
      </w:r>
      <w:r w:rsidRPr="005C082A">
        <w:rPr>
          <w:rFonts w:ascii="Calibri" w:hAnsi="Calibri" w:cs="Calibri"/>
          <w:color w:val="000000"/>
          <w:szCs w:val="24"/>
          <w:shd w:val="clear" w:color="auto" w:fill="FFFFFF"/>
          <w:lang w:val="hy-AM"/>
        </w:rPr>
        <w:t> </w:t>
      </w:r>
      <w:r w:rsidRPr="005C082A">
        <w:rPr>
          <w:color w:val="000000"/>
          <w:szCs w:val="24"/>
          <w:shd w:val="clear" w:color="auto" w:fill="FFFFFF"/>
          <w:lang w:val="hy-AM"/>
        </w:rPr>
        <w:t>հունիսի 2011 թվականի N 879-Ն որոշմամբ հաստատված «Գործող գներով շինարարական աշխատանքների արժեքի հաշվարկման կարգի»-ին համապատասխան հաշվարկի դեպքում</w:t>
      </w:r>
      <w:r w:rsidRPr="005C082A">
        <w:rPr>
          <w:rFonts w:eastAsia="Times New Roman"/>
          <w:szCs w:val="24"/>
          <w:lang w:val="hy-AM"/>
        </w:rPr>
        <w:t xml:space="preserve"> կազմում են </w:t>
      </w:r>
      <w:r w:rsidRPr="005C082A">
        <w:rPr>
          <w:rFonts w:eastAsia="Times New Roman"/>
          <w:i/>
          <w:szCs w:val="24"/>
          <w:u w:val="single"/>
          <w:lang w:val="hy-AM"/>
        </w:rPr>
        <w:t>708,835.06 հազ. դրամ</w:t>
      </w:r>
      <w:r w:rsidRPr="005C082A">
        <w:rPr>
          <w:rFonts w:eastAsia="Times New Roman"/>
          <w:szCs w:val="24"/>
          <w:lang w:val="hy-AM"/>
        </w:rPr>
        <w:t xml:space="preserve"> և այլն։  </w:t>
      </w:r>
    </w:p>
    <w:p w14:paraId="4D265266" w14:textId="669B1537"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6689BD17" w14:textId="6FD16989" w:rsidR="00DE58F7" w:rsidRPr="00605A07" w:rsidRDefault="00DE58F7" w:rsidP="00FF16B1">
      <w:pPr>
        <w:spacing w:before="240" w:after="0"/>
        <w:ind w:firstLine="567"/>
        <w:rPr>
          <w:b/>
          <w:sz w:val="20"/>
          <w:szCs w:val="20"/>
          <w:lang w:val="hy-AM"/>
        </w:rPr>
      </w:pPr>
      <w:r w:rsidRPr="00605A07">
        <w:rPr>
          <w:sz w:val="20"/>
          <w:szCs w:val="20"/>
          <w:lang w:val="hy-AM"/>
        </w:rPr>
        <w:t xml:space="preserve">Դիրքորոշում ներկայացնելու համար անհրաժեշտ է հստակեցնել, թե որոնք են նշված </w:t>
      </w:r>
      <w:r w:rsidRPr="00605A07">
        <w:rPr>
          <w:rFonts w:eastAsia="Times New Roman"/>
          <w:color w:val="000000" w:themeColor="text1"/>
          <w:sz w:val="20"/>
          <w:szCs w:val="20"/>
          <w:lang w:val="hy-AM"/>
        </w:rPr>
        <w:t>22 անվանում աշխատանքները։</w:t>
      </w:r>
    </w:p>
    <w:p w14:paraId="5233E699" w14:textId="77777777"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4985A15D" w14:textId="1267D4E4" w:rsidR="005D44B2" w:rsidRPr="00FF16B1" w:rsidRDefault="005D44B2">
      <w:pPr>
        <w:ind w:firstLine="0"/>
        <w:rPr>
          <w:rFonts w:eastAsia="Times New Roman"/>
          <w:sz w:val="20"/>
          <w:szCs w:val="20"/>
          <w:lang w:val="hy-AM"/>
        </w:rPr>
      </w:pPr>
      <w:r w:rsidRPr="00FF16B1">
        <w:rPr>
          <w:rFonts w:eastAsia="Times New Roman"/>
          <w:sz w:val="20"/>
          <w:szCs w:val="20"/>
          <w:lang w:val="hy-AM"/>
        </w:rPr>
        <w:t xml:space="preserve">        </w:t>
      </w:r>
      <w:r w:rsidR="00DE58F7" w:rsidRPr="00FF16B1">
        <w:rPr>
          <w:rFonts w:eastAsia="Times New Roman"/>
          <w:sz w:val="20"/>
          <w:szCs w:val="20"/>
          <w:lang w:val="hy-AM"/>
        </w:rPr>
        <w:t xml:space="preserve">Արձանագրած անհամապատասխանության բովանդակությունը որևէ կապ չունի աշխատատեսակների քանակի հետ։ Հաշվեքննվող մարմինը </w:t>
      </w:r>
      <w:r w:rsidR="00816A89" w:rsidRPr="00FF16B1">
        <w:rPr>
          <w:rFonts w:eastAsia="Times New Roman"/>
          <w:sz w:val="20"/>
          <w:szCs w:val="20"/>
          <w:lang w:val="hy-AM"/>
        </w:rPr>
        <w:t>կարող է</w:t>
      </w:r>
      <w:r w:rsidR="00DE58F7" w:rsidRPr="00FF16B1">
        <w:rPr>
          <w:rFonts w:eastAsia="Times New Roman"/>
          <w:sz w:val="20"/>
          <w:szCs w:val="20"/>
          <w:lang w:val="hy-AM"/>
        </w:rPr>
        <w:t xml:space="preserve"> տարանջատել այն աշխատանքները որոնց ծավալները փոփոխվել են ավելի քան 25%-ով և դրա արդյունքում պայմանագրային գինը փոփոխվել է ավելի քան 1%-ով</w:t>
      </w:r>
      <w:r w:rsidR="00816A89" w:rsidRPr="00FF16B1">
        <w:rPr>
          <w:rFonts w:eastAsia="Times New Roman"/>
          <w:sz w:val="20"/>
          <w:szCs w:val="20"/>
          <w:lang w:val="hy-AM"/>
        </w:rPr>
        <w:t xml:space="preserve">՝ համադրելով աշխատանքների վերջնական ծավալները սկզբնական ծավալներին, իսկ փոփոխության արդյունքում ավելացված կամ նվազեցված գումարը սկզբնական պայմանագրային գնին։ </w:t>
      </w:r>
      <w:r w:rsidR="00DE58F7" w:rsidRPr="00FF16B1">
        <w:rPr>
          <w:rFonts w:eastAsia="Times New Roman"/>
          <w:sz w:val="20"/>
          <w:szCs w:val="20"/>
          <w:lang w:val="hy-AM"/>
        </w:rPr>
        <w:t>Բացի այդ, նշված փոփոխություններից երկու օրինակ նկարագրված է արձանագրությունում</w:t>
      </w:r>
      <w:r w:rsidR="00816A89" w:rsidRPr="00FF16B1">
        <w:rPr>
          <w:rFonts w:eastAsia="Times New Roman"/>
          <w:sz w:val="20"/>
          <w:szCs w:val="20"/>
          <w:lang w:val="hy-AM"/>
        </w:rPr>
        <w:t xml:space="preserve"> (նաև եզրակացությունում)</w:t>
      </w:r>
      <w:r w:rsidR="00DE58F7" w:rsidRPr="00FF16B1">
        <w:rPr>
          <w:rFonts w:eastAsia="Times New Roman"/>
          <w:sz w:val="20"/>
          <w:szCs w:val="20"/>
          <w:lang w:val="hy-AM"/>
        </w:rPr>
        <w:t>։</w:t>
      </w:r>
    </w:p>
    <w:p w14:paraId="268C511E" w14:textId="5D89F58C" w:rsidR="005D44B2" w:rsidRPr="005C082A" w:rsidRDefault="005D44B2" w:rsidP="00CB7FEB">
      <w:pPr>
        <w:ind w:firstLine="567"/>
        <w:rPr>
          <w:b/>
          <w:i/>
          <w:szCs w:val="24"/>
          <w:lang w:val="hy-AM"/>
        </w:rPr>
      </w:pPr>
      <w:r w:rsidRPr="005C082A">
        <w:rPr>
          <w:rFonts w:eastAsia="Times New Roman"/>
          <w:b/>
          <w:i/>
          <w:szCs w:val="24"/>
          <w:lang w:val="hy-AM"/>
        </w:rPr>
        <w:t xml:space="preserve"> </w:t>
      </w:r>
      <w:r w:rsidR="000F79B2" w:rsidRPr="005C082A">
        <w:rPr>
          <w:rFonts w:eastAsia="Times New Roman"/>
          <w:b/>
          <w:i/>
          <w:szCs w:val="24"/>
          <w:lang w:val="hy-AM"/>
        </w:rPr>
        <w:t>5.6</w:t>
      </w:r>
      <w:r w:rsidRPr="005C082A">
        <w:rPr>
          <w:b/>
          <w:i/>
          <w:szCs w:val="24"/>
          <w:lang w:val="hy-AM"/>
        </w:rPr>
        <w:t>. Առկա է անհամապատասխանություն ՀՀՇՆ IV-11.05.02-99-ի 8.14 կետի պահանջի հետ</w:t>
      </w:r>
    </w:p>
    <w:p w14:paraId="7010A7B0" w14:textId="77777777" w:rsidR="005D44B2" w:rsidRPr="005C082A" w:rsidRDefault="005D44B2" w:rsidP="00CB7FEB">
      <w:pPr>
        <w:ind w:firstLine="567"/>
        <w:rPr>
          <w:szCs w:val="24"/>
          <w:lang w:val="hy-AM"/>
        </w:rPr>
      </w:pPr>
      <w:r w:rsidRPr="005C082A">
        <w:rPr>
          <w:szCs w:val="24"/>
          <w:lang w:val="hy-AM"/>
        </w:rPr>
        <w:t xml:space="preserve">Համաձայն ՀՀՇՆ IV-11.05.02-99-ի 8.14 կետի (Ավտոմոբիլային ճանապարհներ) պահանջի ճանապարհային պատվածքի կոնստրուկտիվ շերտերի բարձրությունը՝ այդ թվում օրգանական կապակցանյութերով մշակված խճի կամ կոպիճի շերտի բարձրությունը </w:t>
      </w:r>
      <w:r w:rsidRPr="005C082A">
        <w:rPr>
          <w:b/>
          <w:i/>
          <w:szCs w:val="24"/>
          <w:u w:val="single"/>
          <w:lang w:val="hy-AM"/>
        </w:rPr>
        <w:t>պետք է նշանակվի հաշվարկով</w:t>
      </w:r>
      <w:r w:rsidRPr="005C082A">
        <w:rPr>
          <w:szCs w:val="24"/>
          <w:lang w:val="hy-AM"/>
        </w:rPr>
        <w:t>, սակայն ոչ պակաս 6սմ-ից։</w:t>
      </w:r>
    </w:p>
    <w:p w14:paraId="49FE0931" w14:textId="51148517" w:rsidR="005D44B2" w:rsidRPr="005C082A" w:rsidRDefault="005D44B2" w:rsidP="00CB7FEB">
      <w:pPr>
        <w:ind w:firstLine="567"/>
        <w:rPr>
          <w:szCs w:val="24"/>
          <w:lang w:val="hy-AM"/>
        </w:rPr>
      </w:pPr>
      <w:r w:rsidRPr="005C082A">
        <w:rPr>
          <w:szCs w:val="24"/>
          <w:lang w:val="hy-AM"/>
        </w:rPr>
        <w:t>Տեխնիկական հսկողության իրականացնող</w:t>
      </w:r>
      <w:r w:rsidR="000F79B2" w:rsidRPr="005C082A">
        <w:rPr>
          <w:szCs w:val="24"/>
          <w:lang w:val="hy-AM"/>
        </w:rPr>
        <w:t xml:space="preserve"> «</w:t>
      </w:r>
      <w:r w:rsidRPr="005C082A">
        <w:rPr>
          <w:szCs w:val="24"/>
          <w:lang w:val="hy-AM"/>
        </w:rPr>
        <w:t>Քոքս Քընսալթ ՋիԷմԲիեյչ և Էգիս ինտերնացիոնալ</w:t>
      </w:r>
      <w:r w:rsidR="000F79B2" w:rsidRPr="005C082A">
        <w:rPr>
          <w:szCs w:val="24"/>
          <w:lang w:val="hy-AM"/>
        </w:rPr>
        <w:t>»</w:t>
      </w:r>
      <w:r w:rsidRPr="005C082A">
        <w:rPr>
          <w:szCs w:val="24"/>
          <w:lang w:val="hy-AM"/>
        </w:rPr>
        <w:t xml:space="preserve"> ՀՁ-ի (գերմանա-ֆրանսիական) տեխնիկական վերահսկողության խմբի ղեկավարը, 03.10.2017թ. թիվ GP-M6/059 գրությամբ դիմել է պատվիրատուին առաջարկելով </w:t>
      </w:r>
      <w:r w:rsidRPr="005C082A">
        <w:rPr>
          <w:b/>
          <w:i/>
          <w:szCs w:val="24"/>
          <w:u w:val="single"/>
          <w:lang w:val="hy-AM"/>
        </w:rPr>
        <w:t>նյութերի հատկությունների բարելավման նպատակով</w:t>
      </w:r>
      <w:r w:rsidRPr="005C082A">
        <w:rPr>
          <w:szCs w:val="24"/>
          <w:lang w:val="hy-AM"/>
        </w:rPr>
        <w:t xml:space="preserve">, </w:t>
      </w:r>
      <w:r w:rsidRPr="005C082A">
        <w:rPr>
          <w:i/>
          <w:szCs w:val="24"/>
          <w:u w:val="single"/>
          <w:lang w:val="hy-AM"/>
        </w:rPr>
        <w:t xml:space="preserve">հիմնվելով ճանապարհային ծածկի շինարարության իր փորձի վրա </w:t>
      </w:r>
      <w:r w:rsidRPr="005C082A">
        <w:rPr>
          <w:szCs w:val="24"/>
          <w:lang w:val="hy-AM"/>
        </w:rPr>
        <w:t xml:space="preserve">և հաշվի առնելով միջին տարեկան երթևեկության աճը, շահագործման ժամկետը (20 տարի), տարեկան </w:t>
      </w:r>
      <w:r w:rsidRPr="005C082A">
        <w:rPr>
          <w:szCs w:val="24"/>
          <w:lang w:val="hy-AM"/>
        </w:rPr>
        <w:lastRenderedPageBreak/>
        <w:t>միջին օդի ջերմաստիճանը (11,7C) և ծանր բեռնատարների ավելացված թիվը, սկզբնական նախագծով նախատեսված 8սմ հաստությամբ սև խճի փոխարեն կիրառել նույն հաստությամբ բիտումով կայունացված խճավազային խառնուրդ։ Նշված առաջարկի վերաբերյալ պատվիրատուն թիվ 1040/1 գրությամբ</w:t>
      </w:r>
      <w:r w:rsidR="000F79B2" w:rsidRPr="005C082A">
        <w:rPr>
          <w:szCs w:val="24"/>
          <w:lang w:val="hy-AM"/>
        </w:rPr>
        <w:t xml:space="preserve"> «</w:t>
      </w:r>
      <w:r w:rsidRPr="005C082A">
        <w:rPr>
          <w:szCs w:val="24"/>
          <w:lang w:val="hy-AM"/>
        </w:rPr>
        <w:t>Արցախճան</w:t>
      </w:r>
      <w:r w:rsidR="000F79B2" w:rsidRPr="005C082A">
        <w:rPr>
          <w:szCs w:val="24"/>
          <w:lang w:val="hy-AM"/>
        </w:rPr>
        <w:t>»</w:t>
      </w:r>
      <w:r w:rsidRPr="005C082A">
        <w:rPr>
          <w:szCs w:val="24"/>
          <w:lang w:val="hy-AM"/>
        </w:rPr>
        <w:t xml:space="preserve"> ինստիտուտ ՓԲԸ-ից խնդրել է տալ մասնագիտական եզրակացություն։ </w:t>
      </w:r>
      <w:r w:rsidR="000F79B2" w:rsidRPr="005C082A">
        <w:rPr>
          <w:szCs w:val="24"/>
          <w:lang w:val="hy-AM"/>
        </w:rPr>
        <w:t>«</w:t>
      </w:r>
      <w:r w:rsidRPr="005C082A">
        <w:rPr>
          <w:szCs w:val="24"/>
          <w:lang w:val="hy-AM"/>
        </w:rPr>
        <w:t>Արցախճան</w:t>
      </w:r>
      <w:r w:rsidR="000F79B2" w:rsidRPr="005C082A">
        <w:rPr>
          <w:szCs w:val="24"/>
          <w:lang w:val="hy-AM"/>
        </w:rPr>
        <w:t>»</w:t>
      </w:r>
      <w:r w:rsidRPr="005C082A">
        <w:rPr>
          <w:szCs w:val="24"/>
          <w:lang w:val="hy-AM"/>
        </w:rPr>
        <w:t xml:space="preserve"> ինստիտուտ ՓԲԸ-ն իր 06.09.2017թ թիվ Ռ.Ս.-186 գրությամբ  պատասխանել է, որ այս </w:t>
      </w:r>
      <w:r w:rsidRPr="005C082A">
        <w:rPr>
          <w:b/>
          <w:i/>
          <w:szCs w:val="24"/>
          <w:u w:val="single"/>
          <w:lang w:val="hy-AM"/>
        </w:rPr>
        <w:t>փոփոխությունը պատվածքի ամրության վրա չի ազդում</w:t>
      </w:r>
      <w:r w:rsidRPr="005C082A">
        <w:rPr>
          <w:szCs w:val="24"/>
          <w:lang w:val="hy-AM"/>
        </w:rPr>
        <w:t xml:space="preserve"> և չեն առարկում շերտի իրականացման համար։ </w:t>
      </w:r>
    </w:p>
    <w:p w14:paraId="31B37930" w14:textId="5FB66367" w:rsidR="005D44B2" w:rsidRPr="005C082A" w:rsidRDefault="005D44B2" w:rsidP="00CB7FEB">
      <w:pPr>
        <w:ind w:firstLine="567"/>
        <w:rPr>
          <w:szCs w:val="24"/>
          <w:lang w:val="hy-AM"/>
        </w:rPr>
      </w:pPr>
      <w:r w:rsidRPr="005C082A">
        <w:rPr>
          <w:szCs w:val="24"/>
          <w:lang w:val="hy-AM"/>
        </w:rPr>
        <w:t>Նշված պատասխանով</w:t>
      </w:r>
      <w:r w:rsidR="000F79B2" w:rsidRPr="005C082A">
        <w:rPr>
          <w:szCs w:val="24"/>
          <w:lang w:val="hy-AM"/>
        </w:rPr>
        <w:t xml:space="preserve"> «</w:t>
      </w:r>
      <w:r w:rsidRPr="005C082A">
        <w:rPr>
          <w:szCs w:val="24"/>
          <w:lang w:val="hy-AM"/>
        </w:rPr>
        <w:t>Արցախճան</w:t>
      </w:r>
      <w:r w:rsidR="000F79B2" w:rsidRPr="005C082A">
        <w:rPr>
          <w:szCs w:val="24"/>
          <w:lang w:val="hy-AM"/>
        </w:rPr>
        <w:t>»</w:t>
      </w:r>
      <w:r w:rsidRPr="005C082A">
        <w:rPr>
          <w:szCs w:val="24"/>
          <w:lang w:val="hy-AM"/>
        </w:rPr>
        <w:t xml:space="preserve"> ինստիտուտ ՓԲԸ-ն, ըստ էության, հերքել է</w:t>
      </w:r>
      <w:r w:rsidR="000F79B2" w:rsidRPr="005C082A">
        <w:rPr>
          <w:szCs w:val="24"/>
          <w:lang w:val="hy-AM"/>
        </w:rPr>
        <w:t xml:space="preserve"> </w:t>
      </w:r>
      <w:r w:rsidRPr="005C082A">
        <w:rPr>
          <w:szCs w:val="24"/>
          <w:lang w:val="hy-AM"/>
        </w:rPr>
        <w:t>տեխնիկական վերահսկողության խմբի ղեկավարի կողմից փոփոխությունը իրականացնելու համար բերված հիմնավորումը առ այն</w:t>
      </w:r>
      <w:r w:rsidR="00271706" w:rsidRPr="005C082A">
        <w:rPr>
          <w:szCs w:val="24"/>
          <w:lang w:val="hy-AM"/>
        </w:rPr>
        <w:t>,</w:t>
      </w:r>
      <w:r w:rsidRPr="005C082A">
        <w:rPr>
          <w:szCs w:val="24"/>
          <w:lang w:val="hy-AM"/>
        </w:rPr>
        <w:t xml:space="preserve"> որ փոփոխությունը </w:t>
      </w:r>
      <w:r w:rsidRPr="005C082A">
        <w:rPr>
          <w:b/>
          <w:i/>
          <w:szCs w:val="24"/>
          <w:u w:val="single"/>
          <w:lang w:val="hy-AM"/>
        </w:rPr>
        <w:t>ըստ իր փորձի բարելավելու է նյութերի հատկությունները</w:t>
      </w:r>
      <w:r w:rsidRPr="005C082A">
        <w:rPr>
          <w:szCs w:val="24"/>
          <w:lang w:val="hy-AM"/>
        </w:rPr>
        <w:t xml:space="preserve"> և փաստել, որ </w:t>
      </w:r>
      <w:r w:rsidRPr="005C082A">
        <w:rPr>
          <w:b/>
          <w:i/>
          <w:szCs w:val="24"/>
          <w:u w:val="single"/>
          <w:lang w:val="hy-AM"/>
        </w:rPr>
        <w:t>կոնստրուկտիվ առումով կատարվում է համարժեք փոփոխություն</w:t>
      </w:r>
      <w:r w:rsidRPr="005C082A">
        <w:rPr>
          <w:szCs w:val="24"/>
          <w:lang w:val="hy-AM"/>
        </w:rPr>
        <w:t>։ Ինչ վերաբերվում է փոփոխության համար որպես հիմնավորում  ներկայացված միջին տարեկան երթևեկության աճի, շահագործման ժամկետի, տարեկան միջին օդի ջերմաստիճանի և ծանր բեռնատարների ավելացված թվի վերաբերյալ ցուցանիշներին, ապա դրանք սահմանված են ՀՀՇՆ IV-11.05.02-99-ի (Ավտոմոբիլային ճանապարհներ)  4.3, 4.4, 4.5, 5.2 և 8.2 կետերով և հաշվի են առնվել նախագծում, այդ թվում 8սմ հաստությամբ սև խճի շերտ նախագծելիս,  քանի որ</w:t>
      </w:r>
      <w:r w:rsidR="000F79B2" w:rsidRPr="005C082A">
        <w:rPr>
          <w:szCs w:val="24"/>
          <w:lang w:val="hy-AM"/>
        </w:rPr>
        <w:t xml:space="preserve"> «</w:t>
      </w:r>
      <w:r w:rsidRPr="005C082A">
        <w:rPr>
          <w:szCs w:val="24"/>
          <w:lang w:val="hy-AM"/>
        </w:rPr>
        <w:t>ՀՀ նախագծերի պետական արտագերատեսչական փորձաքննություն</w:t>
      </w:r>
      <w:r w:rsidR="000F79B2" w:rsidRPr="005C082A">
        <w:rPr>
          <w:szCs w:val="24"/>
          <w:lang w:val="hy-AM"/>
        </w:rPr>
        <w:t xml:space="preserve">» </w:t>
      </w:r>
      <w:r w:rsidRPr="005C082A">
        <w:rPr>
          <w:szCs w:val="24"/>
          <w:lang w:val="hy-AM"/>
        </w:rPr>
        <w:t>ՓԲԸ-ի կողմից 20.10.2015թ-ի թիվ 17/ՊՓ-378/1 գրությամբ տրամադրած փորձագիտական եզրակացությամբ հավաստվել է նախագծի համապատասխանությունը ՀՀ օրենսդրության և նորմատիվա-տեխնիկական փաստաթղթերի պարտադիր պահանջներին։</w:t>
      </w:r>
    </w:p>
    <w:p w14:paraId="4D3CFEDA" w14:textId="7288B455" w:rsidR="005D44B2" w:rsidRPr="005C082A" w:rsidRDefault="005D44B2" w:rsidP="00CB7FEB">
      <w:pPr>
        <w:ind w:firstLine="567"/>
        <w:rPr>
          <w:szCs w:val="24"/>
          <w:lang w:val="hy-AM"/>
        </w:rPr>
      </w:pPr>
      <w:r w:rsidRPr="005C082A">
        <w:rPr>
          <w:szCs w:val="24"/>
          <w:lang w:val="hy-AM"/>
        </w:rPr>
        <w:t>Տեխնիկական մասնագրերի 306.06 կետով սահմանվել է, որ բիտումով կայունացված խճավազային խառնուրդի շերտին ներկայացվող պահանջները նույնն են</w:t>
      </w:r>
      <w:r w:rsidR="007A75CA" w:rsidRPr="005C082A">
        <w:rPr>
          <w:szCs w:val="24"/>
          <w:lang w:val="hy-AM"/>
        </w:rPr>
        <w:t>,</w:t>
      </w:r>
      <w:r w:rsidRPr="005C082A">
        <w:rPr>
          <w:szCs w:val="24"/>
          <w:lang w:val="hy-AM"/>
        </w:rPr>
        <w:t xml:space="preserve"> ինչ որ բարձր ծակոտկեն </w:t>
      </w:r>
      <w:r w:rsidR="00793918" w:rsidRPr="005C082A">
        <w:rPr>
          <w:szCs w:val="24"/>
          <w:lang w:val="hy-AM"/>
        </w:rPr>
        <w:t>ասֆալտբետոնե</w:t>
      </w:r>
      <w:r w:rsidRPr="005C082A">
        <w:rPr>
          <w:szCs w:val="24"/>
          <w:lang w:val="hy-AM"/>
        </w:rPr>
        <w:t xml:space="preserve"> խառնուրդինը։ Համաձայն ՀՀՇՆ IV-11.05.02-99-ի (Ավտոմոբիլային ճանապարհներ) 8.14 կետի պահանջի ճանապարհային պատվածքի ծակոտկեն (խոշորահատիկ) ասֆալտբետոնե շերտի բարձրությունը </w:t>
      </w:r>
      <w:r w:rsidRPr="005C082A">
        <w:rPr>
          <w:b/>
          <w:i/>
          <w:szCs w:val="24"/>
          <w:u w:val="single"/>
          <w:lang w:val="hy-AM"/>
        </w:rPr>
        <w:t>պետք է նշանակվի հաշվարկով</w:t>
      </w:r>
      <w:r w:rsidRPr="005C082A">
        <w:rPr>
          <w:szCs w:val="24"/>
          <w:lang w:val="hy-AM"/>
        </w:rPr>
        <w:t xml:space="preserve">, սակայն ոչ պակաս 6սմ-ից։ Տվյալ դեպքում </w:t>
      </w:r>
      <w:r w:rsidR="004A534C" w:rsidRPr="005C082A">
        <w:rPr>
          <w:szCs w:val="24"/>
          <w:lang w:val="hy-AM"/>
        </w:rPr>
        <w:t xml:space="preserve">Ծրագրի ղեկավարի </w:t>
      </w:r>
      <w:r w:rsidRPr="005C082A">
        <w:rPr>
          <w:szCs w:val="24"/>
          <w:lang w:val="hy-AM"/>
        </w:rPr>
        <w:t xml:space="preserve">կողմից այն նշանակվել է 8սմ հետևաբար </w:t>
      </w:r>
      <w:r w:rsidRPr="005C082A">
        <w:rPr>
          <w:b/>
          <w:i/>
          <w:szCs w:val="24"/>
          <w:u w:val="single"/>
          <w:lang w:val="hy-AM"/>
        </w:rPr>
        <w:t>այն պետք է հիմնավորվեր հաշվարկով, սակայն որևէ հաշվարկ</w:t>
      </w:r>
      <w:r w:rsidR="007A75CA" w:rsidRPr="005C082A">
        <w:rPr>
          <w:b/>
          <w:i/>
          <w:szCs w:val="24"/>
          <w:u w:val="single"/>
          <w:lang w:val="hy-AM"/>
        </w:rPr>
        <w:t>՝</w:t>
      </w:r>
      <w:r w:rsidRPr="005C082A">
        <w:rPr>
          <w:b/>
          <w:i/>
          <w:szCs w:val="24"/>
          <w:u w:val="single"/>
          <w:lang w:val="hy-AM"/>
        </w:rPr>
        <w:t xml:space="preserve"> փոփոխության հիմքերում չի ներկայացվել</w:t>
      </w:r>
      <w:r w:rsidRPr="005C082A">
        <w:rPr>
          <w:szCs w:val="24"/>
          <w:lang w:val="hy-AM"/>
        </w:rPr>
        <w:t>։</w:t>
      </w:r>
    </w:p>
    <w:p w14:paraId="3809D7EC" w14:textId="20282F64" w:rsidR="005D44B2" w:rsidRPr="005C082A" w:rsidRDefault="005D44B2" w:rsidP="00CB7FEB">
      <w:pPr>
        <w:ind w:firstLine="567"/>
        <w:rPr>
          <w:szCs w:val="24"/>
          <w:lang w:val="hy-AM"/>
        </w:rPr>
      </w:pPr>
      <w:r w:rsidRPr="005C082A">
        <w:rPr>
          <w:szCs w:val="24"/>
          <w:lang w:val="hy-AM"/>
        </w:rPr>
        <w:lastRenderedPageBreak/>
        <w:t>Կատարելով կոնստրուկտորական առումով համարժեք փոփոխություն, որը չի բերել աշխատանքների բարելավման, առանց ՀՀՇՆ IV-11.05.02-99-ով պահանջվող հաշվարկով հիմնավորմա</w:t>
      </w:r>
      <w:r w:rsidR="00793918" w:rsidRPr="005C082A">
        <w:rPr>
          <w:szCs w:val="24"/>
          <w:lang w:val="hy-AM"/>
        </w:rPr>
        <w:t>ն</w:t>
      </w:r>
      <w:r w:rsidRPr="005C082A">
        <w:rPr>
          <w:szCs w:val="24"/>
          <w:lang w:val="hy-AM"/>
        </w:rPr>
        <w:t>, բոլոր երեք լոտերով կազմվել են Փոփոխության հրահանգներ և նախագծով նախատեսված 8սմ հաստությամբ սև խճի շերտը փոխարին</w:t>
      </w:r>
      <w:r w:rsidR="007A75CA" w:rsidRPr="005C082A">
        <w:rPr>
          <w:szCs w:val="24"/>
          <w:lang w:val="hy-AM"/>
        </w:rPr>
        <w:t>վ</w:t>
      </w:r>
      <w:r w:rsidRPr="005C082A">
        <w:rPr>
          <w:szCs w:val="24"/>
          <w:lang w:val="hy-AM"/>
        </w:rPr>
        <w:t xml:space="preserve">ել </w:t>
      </w:r>
      <w:r w:rsidR="007A75CA" w:rsidRPr="005C082A">
        <w:rPr>
          <w:szCs w:val="24"/>
          <w:lang w:val="hy-AM"/>
        </w:rPr>
        <w:t xml:space="preserve">է </w:t>
      </w:r>
      <w:r w:rsidRPr="005C082A">
        <w:rPr>
          <w:szCs w:val="24"/>
          <w:lang w:val="hy-AM"/>
        </w:rPr>
        <w:t xml:space="preserve">նույն հաստությամբ 242938 քմ բիտումով կայունացված խճավազային խառնուրդի շերտով՝ գումարով </w:t>
      </w:r>
      <w:r w:rsidRPr="005C082A">
        <w:rPr>
          <w:b/>
          <w:i/>
          <w:szCs w:val="24"/>
          <w:u w:val="single"/>
          <w:lang w:val="hy-AM"/>
        </w:rPr>
        <w:t>1,130,311.04 հազ. դրամի</w:t>
      </w:r>
      <w:r w:rsidRPr="005C082A">
        <w:rPr>
          <w:szCs w:val="24"/>
          <w:lang w:val="hy-AM"/>
        </w:rPr>
        <w:t>։ N M6-ICB/CW-01-1 և N M6-ICB/CW-01-3 պա</w:t>
      </w:r>
      <w:r w:rsidR="00B92CA6" w:rsidRPr="005C082A">
        <w:rPr>
          <w:szCs w:val="24"/>
          <w:lang w:val="hy-AM"/>
        </w:rPr>
        <w:t>յ</w:t>
      </w:r>
      <w:r w:rsidRPr="005C082A">
        <w:rPr>
          <w:szCs w:val="24"/>
          <w:lang w:val="hy-AM"/>
        </w:rPr>
        <w:t xml:space="preserve">ամանագրերի փոփոխության հրահանգներում բիտումով կայունացված խճավազային խառնուրդի շերտի միավոր գները սահմանել են 8սմ հաստությամբ սև խճի շերտի համար նախատեսված պայմանագրային միավոր գները, իսկ N M6-ICB/CW-01-2 պայմանագրի փոփոխության հրահանգով այն 1.08 հազ. դրամով ավել են սահմանել 8սմ հաստությամբ սև խճի շերտի կառուցման պայմանագրային միավոր գնից՝ 3.84 հազ. դրամից, ինչի արդյունքում պայմանագրային գինը ավելացվել է </w:t>
      </w:r>
      <w:r w:rsidRPr="005C082A">
        <w:rPr>
          <w:b/>
          <w:i/>
          <w:szCs w:val="24"/>
          <w:u w:val="single"/>
          <w:lang w:val="hy-AM"/>
        </w:rPr>
        <w:t>101,920.68 հազ. դրամով</w:t>
      </w:r>
      <w:r w:rsidRPr="005C082A">
        <w:rPr>
          <w:szCs w:val="24"/>
          <w:lang w:val="hy-AM"/>
        </w:rPr>
        <w:t xml:space="preserve"> այն դեպքում, երբ լրացուցիչ կատարված բիտումով կայունացված խճավազային խառնուրդի շերտի նախահաշվային միավոր արժեքը 1.13 հազ. դրամով էժան է 8սմ հաստությամբ սև խճի շերտի նախահաշվային արժեքից։</w:t>
      </w:r>
    </w:p>
    <w:p w14:paraId="6CAD53B2" w14:textId="3C0A902C" w:rsidR="005D44B2" w:rsidRDefault="005D44B2" w:rsidP="00CB7FEB">
      <w:pPr>
        <w:ind w:firstLine="567"/>
        <w:rPr>
          <w:szCs w:val="24"/>
          <w:lang w:val="hy-AM"/>
        </w:rPr>
      </w:pPr>
      <w:r w:rsidRPr="005C082A">
        <w:rPr>
          <w:szCs w:val="24"/>
          <w:lang w:val="hy-AM"/>
        </w:rPr>
        <w:t xml:space="preserve">Ընդհանուր առմամբ N M6-ICB/CW-01-1, N M6-ICB/CW-01-2 և N M6-ICB/CW-01-3 պայմանագրերի շրջանակներում 243388քմ մակերեսով 1,209,455.00 հազ. դրամ նախահաշվային արժեքով աշխատանքների փոխարեն կատարվել են </w:t>
      </w:r>
      <w:r w:rsidRPr="005C082A">
        <w:rPr>
          <w:b/>
          <w:i/>
          <w:szCs w:val="24"/>
          <w:u w:val="single"/>
          <w:lang w:val="hy-AM"/>
        </w:rPr>
        <w:t>277,766.54 հազ. դրամով</w:t>
      </w:r>
      <w:r w:rsidRPr="005C082A">
        <w:rPr>
          <w:szCs w:val="24"/>
          <w:lang w:val="hy-AM"/>
        </w:rPr>
        <w:t xml:space="preserve"> ավելի էժան՝ 931,689.00 հազ. դրամ նախահաշվային արժեքով աշխատանքներ, սակայն պայմանագրային գինը </w:t>
      </w:r>
      <w:r w:rsidR="008D4692" w:rsidRPr="005C082A">
        <w:rPr>
          <w:szCs w:val="24"/>
          <w:lang w:val="hy-AM"/>
        </w:rPr>
        <w:t>ավելաց</w:t>
      </w:r>
      <w:r w:rsidR="008D4692" w:rsidRPr="00650A93">
        <w:rPr>
          <w:szCs w:val="24"/>
          <w:lang w:val="hy-AM"/>
        </w:rPr>
        <w:t>վել</w:t>
      </w:r>
      <w:r w:rsidR="008D4692" w:rsidRPr="005C082A">
        <w:rPr>
          <w:szCs w:val="24"/>
          <w:lang w:val="hy-AM"/>
        </w:rPr>
        <w:t xml:space="preserve"> </w:t>
      </w:r>
      <w:r w:rsidR="008D4692" w:rsidRPr="00650A93">
        <w:rPr>
          <w:szCs w:val="24"/>
          <w:lang w:val="hy-AM"/>
        </w:rPr>
        <w:t>է</w:t>
      </w:r>
      <w:r w:rsidR="008D4692" w:rsidRPr="005C082A">
        <w:rPr>
          <w:szCs w:val="24"/>
          <w:lang w:val="hy-AM"/>
        </w:rPr>
        <w:t xml:space="preserve"> </w:t>
      </w:r>
      <w:r w:rsidRPr="003810E9">
        <w:rPr>
          <w:szCs w:val="24"/>
          <w:lang w:val="hy-AM"/>
        </w:rPr>
        <w:t xml:space="preserve">101,920.68 հազ. </w:t>
      </w:r>
      <w:r w:rsidRPr="005C082A">
        <w:rPr>
          <w:szCs w:val="24"/>
          <w:lang w:val="hy-AM"/>
        </w:rPr>
        <w:t>դրամով։</w:t>
      </w:r>
    </w:p>
    <w:p w14:paraId="24D921F7" w14:textId="4595EE1B"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4B64F0AE" w14:textId="77777777" w:rsidR="00875721" w:rsidRPr="00605A07" w:rsidRDefault="00875721">
      <w:pPr>
        <w:ind w:firstLine="567"/>
        <w:rPr>
          <w:sz w:val="20"/>
          <w:szCs w:val="20"/>
          <w:lang w:val="hy-AM"/>
        </w:rPr>
      </w:pPr>
      <w:r w:rsidRPr="00605A07">
        <w:rPr>
          <w:sz w:val="20"/>
          <w:szCs w:val="20"/>
          <w:lang w:val="hy-AM"/>
        </w:rPr>
        <w:t xml:space="preserve">«Արցախճան» ինստիտուտ ՓԲԸ-ն իր 06.09.2017թ թիվ Ռ.Ս.-186 գրությամբ  պատասխանել է, որ այս </w:t>
      </w:r>
      <w:r w:rsidRPr="00605A07">
        <w:rPr>
          <w:b/>
          <w:i/>
          <w:sz w:val="20"/>
          <w:szCs w:val="20"/>
          <w:u w:val="single"/>
          <w:lang w:val="hy-AM"/>
        </w:rPr>
        <w:t>փոփոխությունը պատվածքի ամրության վրա չի ազդում</w:t>
      </w:r>
      <w:r w:rsidRPr="00605A07">
        <w:rPr>
          <w:sz w:val="20"/>
          <w:szCs w:val="20"/>
          <w:lang w:val="hy-AM"/>
        </w:rPr>
        <w:t xml:space="preserve"> և չեն առարկում շերտի իրականացման համար։ </w:t>
      </w:r>
    </w:p>
    <w:p w14:paraId="7A72146E" w14:textId="345EF483" w:rsidR="00875721" w:rsidRPr="00605A07" w:rsidRDefault="00875721">
      <w:pPr>
        <w:rPr>
          <w:rFonts w:eastAsia="Calibri" w:cs="Arial"/>
          <w:sz w:val="20"/>
          <w:szCs w:val="20"/>
          <w:lang w:val="hy-AM"/>
        </w:rPr>
      </w:pPr>
      <w:r w:rsidRPr="00605A07">
        <w:rPr>
          <w:sz w:val="20"/>
          <w:szCs w:val="20"/>
          <w:lang w:val="hy-AM"/>
        </w:rPr>
        <w:t xml:space="preserve">Արձանագրության մեջ բերված այն պնդումը, որ «Նշված պատասխանով &lt;&lt;Արցախճան&gt;&gt; ինստիտուտ ՓԲԸ-ն, ըստ էության, հերքել է &lt;&lt;Քոքս Քընսալթ ՋիԷմԲիեյչ&gt;&gt; ՀՁ-ի տեխնիկական վերահսկողության խմբի ղեկավարի կողմից փոփոխությունը իրականացնելու համար բերված հիմնավորումը առ այն որ փոփոխությունը </w:t>
      </w:r>
      <w:r w:rsidRPr="00605A07">
        <w:rPr>
          <w:b/>
          <w:i/>
          <w:sz w:val="20"/>
          <w:szCs w:val="20"/>
          <w:u w:val="single"/>
          <w:lang w:val="hy-AM"/>
        </w:rPr>
        <w:t>ըստ իր փորձի բարելավելու է նյութերի հատկությունները</w:t>
      </w:r>
      <w:r w:rsidRPr="00605A07">
        <w:rPr>
          <w:sz w:val="20"/>
          <w:szCs w:val="20"/>
          <w:lang w:val="hy-AM"/>
        </w:rPr>
        <w:t xml:space="preserve"> և փաստել, որ </w:t>
      </w:r>
      <w:r w:rsidRPr="00605A07">
        <w:rPr>
          <w:b/>
          <w:i/>
          <w:sz w:val="20"/>
          <w:szCs w:val="20"/>
          <w:u w:val="single"/>
          <w:lang w:val="hy-AM"/>
        </w:rPr>
        <w:t>կոնստրուկտիվ առումով կատարվում է համարժեք փոփոխություն</w:t>
      </w:r>
      <w:r w:rsidRPr="00605A07">
        <w:rPr>
          <w:sz w:val="20"/>
          <w:szCs w:val="20"/>
          <w:lang w:val="hy-AM"/>
        </w:rPr>
        <w:t>։» «Արցախճան» ինստիտուտ ՓԲԸ-ի գրության սուբյեկտիվ մեկնաբանություն է։ Եթե սուբյեկտիվ մեկնաբանությունները կարող են հիմք ծառայել հետագա դատողությունների համար, ապա Պատվիրատուի մեկնաբանությունն էլ հետևյալն է՝ «</w:t>
      </w:r>
      <w:r w:rsidRPr="00605A07">
        <w:rPr>
          <w:bCs/>
          <w:iCs/>
          <w:sz w:val="20"/>
          <w:szCs w:val="20"/>
          <w:lang w:val="hy-AM"/>
        </w:rPr>
        <w:t xml:space="preserve">փոփոխությունը պատվածքի ամրության վրա </w:t>
      </w:r>
      <w:r w:rsidRPr="00605A07">
        <w:rPr>
          <w:b/>
          <w:iCs/>
          <w:sz w:val="20"/>
          <w:szCs w:val="20"/>
          <w:lang w:val="hy-AM"/>
        </w:rPr>
        <w:t>վատ իմաստով</w:t>
      </w:r>
      <w:r w:rsidRPr="00605A07">
        <w:rPr>
          <w:bCs/>
          <w:iCs/>
          <w:sz w:val="20"/>
          <w:szCs w:val="20"/>
          <w:lang w:val="hy-AM"/>
        </w:rPr>
        <w:t xml:space="preserve"> չի ազդում» և հետևաբար </w:t>
      </w:r>
      <w:r w:rsidRPr="00605A07">
        <w:rPr>
          <w:sz w:val="20"/>
          <w:szCs w:val="20"/>
          <w:lang w:val="hy-AM"/>
        </w:rPr>
        <w:t xml:space="preserve">«Արցախճան» ինստիտուտ ՓԲԸ-ը չի հերքել </w:t>
      </w:r>
      <w:r w:rsidRPr="00605A07">
        <w:rPr>
          <w:sz w:val="20"/>
          <w:szCs w:val="20"/>
          <w:lang w:val="hy-AM"/>
        </w:rPr>
        <w:lastRenderedPageBreak/>
        <w:t xml:space="preserve">տեխնիկական վերահսկողության խմբի ղեկավարի կողմից փոփոխությունը իրականացնելու համար բերված հիմնավորումն առ այն որ փոփոխությունն </w:t>
      </w:r>
      <w:r w:rsidRPr="00605A07">
        <w:rPr>
          <w:bCs/>
          <w:iCs/>
          <w:sz w:val="20"/>
          <w:szCs w:val="20"/>
          <w:lang w:val="hy-AM"/>
        </w:rPr>
        <w:t>ըստ իր փորձի բարելավելու է նյութերի հատկությունները։</w:t>
      </w:r>
    </w:p>
    <w:p w14:paraId="1CF163BB" w14:textId="77777777" w:rsidR="00875721" w:rsidRPr="00605A07" w:rsidRDefault="00875721">
      <w:pPr>
        <w:rPr>
          <w:rFonts w:eastAsia="Calibri" w:cs="Arial"/>
          <w:sz w:val="20"/>
          <w:szCs w:val="20"/>
          <w:lang w:val="hy-AM"/>
        </w:rPr>
      </w:pPr>
      <w:r w:rsidRPr="00605A07">
        <w:rPr>
          <w:rFonts w:eastAsia="Calibri" w:cs="Arial"/>
          <w:sz w:val="20"/>
          <w:szCs w:val="20"/>
          <w:lang w:val="hy-AM"/>
        </w:rPr>
        <w:t>Թեև որևէ հաշվարկ փոփոխության հիմքերում չի ներկայացվել, սակայն Պատվիրատուի կողմից կատարվել է հաշվարկ, համաձայն որի  բիտումով կայունացված խճավազային 8սմ հաստությամբ շերտը ոչ միայն ապահովում է 49սմ հաստությամբ պատվածքի համար պահանջվող 246 ՄՊա առաձգականության</w:t>
      </w:r>
      <w:r w:rsidRPr="00605A07">
        <w:rPr>
          <w:sz w:val="20"/>
          <w:szCs w:val="20"/>
          <w:lang w:val="hy-AM"/>
        </w:rPr>
        <w:t xml:space="preserve"> մոդուլը, այլև ապահովում է ամբողջ պատվածքի </w:t>
      </w:r>
      <w:r w:rsidRPr="00605A07">
        <w:rPr>
          <w:rFonts w:eastAsia="Calibri" w:cs="Arial"/>
          <w:sz w:val="20"/>
          <w:szCs w:val="20"/>
          <w:lang w:val="hy-AM"/>
        </w:rPr>
        <w:t>11</w:t>
      </w:r>
      <w:r w:rsidRPr="00605A07">
        <w:rPr>
          <w:rFonts w:ascii="Cambria Math" w:eastAsia="Calibri" w:hAnsi="Cambria Math" w:cs="Cambria Math"/>
          <w:sz w:val="20"/>
          <w:szCs w:val="20"/>
          <w:lang w:val="hy-AM"/>
        </w:rPr>
        <w:t>․</w:t>
      </w:r>
      <w:r w:rsidRPr="00605A07">
        <w:rPr>
          <w:rFonts w:eastAsia="Calibri" w:cs="Arial"/>
          <w:sz w:val="20"/>
          <w:szCs w:val="20"/>
          <w:lang w:val="hy-AM"/>
        </w:rPr>
        <w:t xml:space="preserve">9%-ով ավելի բարձր ամրության գործակից (1.13) քան սև խճային հիմքի դեպքում (1.01)։ Հաշվարկը բերված է Հավելված 1-ում։ </w:t>
      </w:r>
    </w:p>
    <w:p w14:paraId="6640FF00" w14:textId="77777777" w:rsidR="00875721" w:rsidRPr="00605A07" w:rsidRDefault="00875721">
      <w:pPr>
        <w:rPr>
          <w:sz w:val="20"/>
          <w:szCs w:val="20"/>
          <w:lang w:val="hy-AM"/>
        </w:rPr>
      </w:pPr>
      <w:r w:rsidRPr="00605A07">
        <w:rPr>
          <w:sz w:val="20"/>
          <w:szCs w:val="20"/>
          <w:lang w:val="hy-AM"/>
        </w:rPr>
        <w:t>Վերն արդեն նշվել է, որ փոփոխությունը կոնստրուկտորական առումով համարժեք չէ և բարելավել է պատվածքի ամրությունը։</w:t>
      </w:r>
    </w:p>
    <w:p w14:paraId="66838BE6" w14:textId="77777777" w:rsidR="00875721" w:rsidRPr="00605A07" w:rsidRDefault="00875721">
      <w:pPr>
        <w:rPr>
          <w:rFonts w:cs="Calibri"/>
          <w:color w:val="000000"/>
          <w:sz w:val="20"/>
          <w:szCs w:val="20"/>
          <w:lang w:val="hy-AM"/>
        </w:rPr>
      </w:pPr>
      <w:r w:rsidRPr="00605A07">
        <w:rPr>
          <w:sz w:val="20"/>
          <w:szCs w:val="20"/>
          <w:lang w:val="hy-AM"/>
        </w:rPr>
        <w:t xml:space="preserve">Բիտումով կայունացված խճավազային խառնուրդի h=8սմ շերտի նախահաշվային միավոր արժեքն </w:t>
      </w:r>
      <w:r w:rsidRPr="00605A07">
        <w:rPr>
          <w:b/>
          <w:bCs/>
          <w:sz w:val="20"/>
          <w:szCs w:val="20"/>
          <w:lang w:val="hy-AM"/>
        </w:rPr>
        <w:t>էժան չէ</w:t>
      </w:r>
      <w:r w:rsidRPr="00605A07">
        <w:rPr>
          <w:sz w:val="20"/>
          <w:szCs w:val="20"/>
          <w:lang w:val="hy-AM"/>
        </w:rPr>
        <w:t xml:space="preserve"> 8սմ հաստությամբ սև խճի շերտի նախահաշվային միավոր արժեքից։ 8սմ հաստությամբ սև խճի շերտի նախահաշվային միավոր արժեքը </w:t>
      </w:r>
      <w:r w:rsidRPr="00605A07">
        <w:rPr>
          <w:rFonts w:cs="Calibri"/>
          <w:b/>
          <w:bCs/>
          <w:color w:val="000000"/>
          <w:sz w:val="20"/>
          <w:szCs w:val="20"/>
          <w:lang w:val="hy-AM"/>
        </w:rPr>
        <w:t>4,946.42</w:t>
      </w:r>
      <w:r w:rsidRPr="00605A07">
        <w:rPr>
          <w:rFonts w:cs="Calibri"/>
          <w:color w:val="000000"/>
          <w:sz w:val="20"/>
          <w:szCs w:val="20"/>
          <w:lang w:val="hy-AM"/>
        </w:rPr>
        <w:t xml:space="preserve"> դրամ է, իսկ </w:t>
      </w:r>
      <w:r w:rsidRPr="00605A07">
        <w:rPr>
          <w:sz w:val="20"/>
          <w:szCs w:val="20"/>
          <w:lang w:val="hy-AM"/>
        </w:rPr>
        <w:t xml:space="preserve">բիտումով կայունացված խճավազային խառնուրդի h=8սմ շերտի նախահաշվային միավոր արժեքը N M6-ICB/CW-01-1 պայմանագրի համար </w:t>
      </w:r>
      <w:r w:rsidRPr="00605A07">
        <w:rPr>
          <w:rFonts w:cs="Calibri"/>
          <w:b/>
          <w:bCs/>
          <w:color w:val="000000"/>
          <w:sz w:val="20"/>
          <w:szCs w:val="20"/>
          <w:lang w:val="hy-AM"/>
        </w:rPr>
        <w:t>4432.8</w:t>
      </w:r>
      <w:r w:rsidRPr="00605A07">
        <w:rPr>
          <w:rFonts w:cs="Calibri"/>
          <w:color w:val="000000"/>
          <w:sz w:val="20"/>
          <w:szCs w:val="20"/>
          <w:lang w:val="hy-AM"/>
        </w:rPr>
        <w:t xml:space="preserve"> դրամ է,</w:t>
      </w:r>
    </w:p>
    <w:p w14:paraId="5F9ADBC8" w14:textId="77777777" w:rsidR="00875721" w:rsidRPr="00605A07" w:rsidRDefault="00875721">
      <w:pPr>
        <w:rPr>
          <w:rFonts w:cs="Calibri"/>
          <w:color w:val="000000"/>
          <w:sz w:val="20"/>
          <w:szCs w:val="20"/>
          <w:lang w:val="hy-AM"/>
        </w:rPr>
      </w:pPr>
      <w:r w:rsidRPr="00605A07">
        <w:rPr>
          <w:sz w:val="20"/>
          <w:szCs w:val="20"/>
          <w:lang w:val="hy-AM"/>
        </w:rPr>
        <w:t xml:space="preserve">N M6-ICB/CW-01-2 պայմանագրի համար </w:t>
      </w:r>
      <w:r w:rsidRPr="00605A07">
        <w:rPr>
          <w:rFonts w:cs="Calibri"/>
          <w:b/>
          <w:bCs/>
          <w:color w:val="000000"/>
          <w:sz w:val="20"/>
          <w:szCs w:val="20"/>
          <w:lang w:val="hy-AM"/>
        </w:rPr>
        <w:t>4920</w:t>
      </w:r>
      <w:r w:rsidRPr="00605A07">
        <w:rPr>
          <w:rFonts w:cs="Calibri"/>
          <w:color w:val="000000"/>
          <w:sz w:val="20"/>
          <w:szCs w:val="20"/>
          <w:lang w:val="hy-AM"/>
        </w:rPr>
        <w:t xml:space="preserve"> դրամ է, </w:t>
      </w:r>
      <w:r w:rsidRPr="00605A07">
        <w:rPr>
          <w:sz w:val="20"/>
          <w:szCs w:val="20"/>
          <w:lang w:val="hy-AM"/>
        </w:rPr>
        <w:t xml:space="preserve">N M6-ICB/CW-01-3 պայմանագրի համար </w:t>
      </w:r>
      <w:r w:rsidRPr="00605A07">
        <w:rPr>
          <w:rFonts w:cs="Calibri"/>
          <w:b/>
          <w:bCs/>
          <w:color w:val="000000"/>
          <w:sz w:val="20"/>
          <w:szCs w:val="20"/>
          <w:lang w:val="hy-AM"/>
        </w:rPr>
        <w:t>4560</w:t>
      </w:r>
      <w:r w:rsidRPr="00605A07">
        <w:rPr>
          <w:rFonts w:cs="Calibri"/>
          <w:color w:val="000000"/>
          <w:sz w:val="20"/>
          <w:szCs w:val="20"/>
          <w:lang w:val="hy-AM"/>
        </w:rPr>
        <w:t xml:space="preserve"> դրամ է (տես Հավելված 2)։</w:t>
      </w:r>
    </w:p>
    <w:p w14:paraId="52EE70B4" w14:textId="77777777" w:rsidR="00875721" w:rsidRPr="00605A07" w:rsidRDefault="00875721">
      <w:pPr>
        <w:rPr>
          <w:sz w:val="20"/>
          <w:szCs w:val="20"/>
          <w:lang w:val="hy-AM"/>
        </w:rPr>
      </w:pPr>
      <w:r w:rsidRPr="00605A07">
        <w:rPr>
          <w:sz w:val="20"/>
          <w:szCs w:val="20"/>
          <w:lang w:val="hy-AM"/>
        </w:rPr>
        <w:t>N M6-ICB/CW-01-1 պայմանագրով տեղադրվել է</w:t>
      </w:r>
      <w:r w:rsidRPr="00605A07">
        <w:rPr>
          <w:rFonts w:cs="Calibri"/>
          <w:color w:val="000000"/>
          <w:sz w:val="20"/>
          <w:szCs w:val="20"/>
          <w:lang w:val="hy-AM"/>
        </w:rPr>
        <w:t xml:space="preserve"> </w:t>
      </w:r>
      <w:r w:rsidRPr="00605A07">
        <w:rPr>
          <w:rFonts w:cs="Calibri"/>
          <w:b/>
          <w:bCs/>
          <w:color w:val="000000"/>
          <w:sz w:val="20"/>
          <w:szCs w:val="20"/>
          <w:lang w:val="hy-AM"/>
        </w:rPr>
        <w:t>90895քմ</w:t>
      </w:r>
      <w:r w:rsidRPr="00605A07">
        <w:rPr>
          <w:rFonts w:cs="Calibri"/>
          <w:color w:val="000000"/>
          <w:sz w:val="20"/>
          <w:szCs w:val="20"/>
          <w:lang w:val="hy-AM"/>
        </w:rPr>
        <w:t xml:space="preserve"> </w:t>
      </w:r>
      <w:r w:rsidRPr="00605A07">
        <w:rPr>
          <w:sz w:val="20"/>
          <w:szCs w:val="20"/>
          <w:lang w:val="hy-AM"/>
        </w:rPr>
        <w:t xml:space="preserve">բիտումով կայունացված խճավազային խառնուրդի h=8սմ շերտ՝ </w:t>
      </w:r>
      <w:r w:rsidRPr="00605A07">
        <w:rPr>
          <w:b/>
          <w:bCs/>
          <w:sz w:val="20"/>
          <w:szCs w:val="20"/>
          <w:lang w:val="hy-AM"/>
        </w:rPr>
        <w:t>402,919</w:t>
      </w:r>
      <w:r w:rsidRPr="00605A07">
        <w:rPr>
          <w:rFonts w:ascii="Cambria Math" w:hAnsi="Cambria Math" w:cs="Cambria Math"/>
          <w:b/>
          <w:bCs/>
          <w:sz w:val="20"/>
          <w:szCs w:val="20"/>
          <w:lang w:val="hy-AM"/>
        </w:rPr>
        <w:t>․</w:t>
      </w:r>
      <w:r w:rsidRPr="00605A07">
        <w:rPr>
          <w:b/>
          <w:bCs/>
          <w:sz w:val="20"/>
          <w:szCs w:val="20"/>
          <w:lang w:val="hy-AM"/>
        </w:rPr>
        <w:t>36 հազ</w:t>
      </w:r>
      <w:r w:rsidRPr="00605A07">
        <w:rPr>
          <w:rFonts w:ascii="Cambria Math" w:hAnsi="Cambria Math" w:cs="Cambria Math"/>
          <w:b/>
          <w:bCs/>
          <w:sz w:val="20"/>
          <w:szCs w:val="20"/>
          <w:lang w:val="hy-AM"/>
        </w:rPr>
        <w:t>․</w:t>
      </w:r>
      <w:r w:rsidRPr="00605A07">
        <w:rPr>
          <w:b/>
          <w:bCs/>
          <w:sz w:val="20"/>
          <w:szCs w:val="20"/>
          <w:lang w:val="hy-AM"/>
        </w:rPr>
        <w:t xml:space="preserve">դրամ </w:t>
      </w:r>
      <w:r w:rsidRPr="00605A07">
        <w:rPr>
          <w:sz w:val="20"/>
          <w:szCs w:val="20"/>
          <w:lang w:val="hy-AM"/>
        </w:rPr>
        <w:t xml:space="preserve">արժեքով (նախահաշվային արժեքը՝ </w:t>
      </w:r>
      <w:r w:rsidRPr="00605A07">
        <w:rPr>
          <w:b/>
          <w:bCs/>
          <w:sz w:val="20"/>
          <w:szCs w:val="20"/>
          <w:lang w:val="hy-AM"/>
        </w:rPr>
        <w:t>616,260</w:t>
      </w:r>
      <w:r w:rsidRPr="00605A07">
        <w:rPr>
          <w:rFonts w:ascii="Cambria Math" w:hAnsi="Cambria Math" w:cs="Cambria Math"/>
          <w:b/>
          <w:bCs/>
          <w:sz w:val="20"/>
          <w:szCs w:val="20"/>
          <w:lang w:val="hy-AM"/>
        </w:rPr>
        <w:t>․</w:t>
      </w:r>
      <w:r w:rsidRPr="00605A07">
        <w:rPr>
          <w:b/>
          <w:bCs/>
          <w:sz w:val="20"/>
          <w:szCs w:val="20"/>
          <w:lang w:val="hy-AM"/>
        </w:rPr>
        <w:t>91 հազ</w:t>
      </w:r>
      <w:r w:rsidRPr="00605A07">
        <w:rPr>
          <w:rFonts w:ascii="Cambria Math" w:hAnsi="Cambria Math" w:cs="Cambria Math"/>
          <w:b/>
          <w:bCs/>
          <w:sz w:val="20"/>
          <w:szCs w:val="20"/>
          <w:lang w:val="hy-AM"/>
        </w:rPr>
        <w:t>․</w:t>
      </w:r>
      <w:r w:rsidRPr="00605A07">
        <w:rPr>
          <w:b/>
          <w:bCs/>
          <w:sz w:val="20"/>
          <w:szCs w:val="20"/>
          <w:lang w:val="hy-AM"/>
        </w:rPr>
        <w:t>դրամ</w:t>
      </w:r>
      <w:r w:rsidRPr="00605A07">
        <w:rPr>
          <w:sz w:val="20"/>
          <w:szCs w:val="20"/>
          <w:lang w:val="hy-AM"/>
        </w:rPr>
        <w:t>)։</w:t>
      </w:r>
    </w:p>
    <w:p w14:paraId="20669C8F" w14:textId="77777777" w:rsidR="00875721" w:rsidRPr="00605A07" w:rsidRDefault="00875721">
      <w:pPr>
        <w:rPr>
          <w:sz w:val="20"/>
          <w:szCs w:val="20"/>
          <w:lang w:val="hy-AM"/>
        </w:rPr>
      </w:pPr>
      <w:r w:rsidRPr="00605A07">
        <w:rPr>
          <w:sz w:val="20"/>
          <w:szCs w:val="20"/>
          <w:lang w:val="hy-AM"/>
        </w:rPr>
        <w:t>N M6-ICB/CW-01-2 պայմանագրով տեղադրվել է</w:t>
      </w:r>
      <w:r w:rsidRPr="00605A07">
        <w:rPr>
          <w:rFonts w:cs="Calibri"/>
          <w:color w:val="000000"/>
          <w:sz w:val="20"/>
          <w:szCs w:val="20"/>
          <w:lang w:val="hy-AM"/>
        </w:rPr>
        <w:t xml:space="preserve"> </w:t>
      </w:r>
      <w:r w:rsidRPr="00605A07">
        <w:rPr>
          <w:rFonts w:cs="Calibri"/>
          <w:b/>
          <w:bCs/>
          <w:color w:val="000000"/>
          <w:sz w:val="20"/>
          <w:szCs w:val="20"/>
          <w:lang w:val="hy-AM"/>
        </w:rPr>
        <w:t>94371քմ</w:t>
      </w:r>
      <w:r w:rsidRPr="00605A07">
        <w:rPr>
          <w:rFonts w:cs="Calibri"/>
          <w:color w:val="000000"/>
          <w:sz w:val="20"/>
          <w:szCs w:val="20"/>
          <w:lang w:val="hy-AM"/>
        </w:rPr>
        <w:t xml:space="preserve"> </w:t>
      </w:r>
      <w:r w:rsidRPr="00605A07">
        <w:rPr>
          <w:sz w:val="20"/>
          <w:szCs w:val="20"/>
          <w:lang w:val="hy-AM"/>
        </w:rPr>
        <w:t xml:space="preserve">բիտումով կայունացված խճավազային խառնուրդի h=8սմ շերտ՝ </w:t>
      </w:r>
      <w:r w:rsidRPr="00605A07">
        <w:rPr>
          <w:b/>
          <w:bCs/>
          <w:sz w:val="20"/>
          <w:szCs w:val="20"/>
          <w:lang w:val="hy-AM"/>
        </w:rPr>
        <w:t>464,305</w:t>
      </w:r>
      <w:r w:rsidRPr="00605A07">
        <w:rPr>
          <w:rFonts w:ascii="Cambria Math" w:hAnsi="Cambria Math" w:cs="Cambria Math"/>
          <w:b/>
          <w:bCs/>
          <w:sz w:val="20"/>
          <w:szCs w:val="20"/>
          <w:lang w:val="hy-AM"/>
        </w:rPr>
        <w:t>․</w:t>
      </w:r>
      <w:r w:rsidRPr="00605A07">
        <w:rPr>
          <w:b/>
          <w:bCs/>
          <w:sz w:val="20"/>
          <w:szCs w:val="20"/>
          <w:lang w:val="hy-AM"/>
        </w:rPr>
        <w:t>32 հազ</w:t>
      </w:r>
      <w:r w:rsidRPr="00605A07">
        <w:rPr>
          <w:rFonts w:ascii="Cambria Math" w:hAnsi="Cambria Math" w:cs="Cambria Math"/>
          <w:b/>
          <w:bCs/>
          <w:sz w:val="20"/>
          <w:szCs w:val="20"/>
          <w:lang w:val="hy-AM"/>
        </w:rPr>
        <w:t>․</w:t>
      </w:r>
      <w:r w:rsidRPr="00605A07">
        <w:rPr>
          <w:b/>
          <w:bCs/>
          <w:sz w:val="20"/>
          <w:szCs w:val="20"/>
          <w:lang w:val="hy-AM"/>
        </w:rPr>
        <w:t>դրամ</w:t>
      </w:r>
      <w:r w:rsidRPr="00605A07">
        <w:rPr>
          <w:sz w:val="20"/>
          <w:szCs w:val="20"/>
          <w:lang w:val="hy-AM"/>
        </w:rPr>
        <w:t xml:space="preserve"> արժեքով (նախահաշվային արժեքը՝ </w:t>
      </w:r>
      <w:r w:rsidRPr="00605A07">
        <w:rPr>
          <w:b/>
          <w:bCs/>
          <w:sz w:val="20"/>
          <w:szCs w:val="20"/>
          <w:lang w:val="hy-AM"/>
        </w:rPr>
        <w:t>626,878</w:t>
      </w:r>
      <w:r w:rsidRPr="00605A07">
        <w:rPr>
          <w:rFonts w:ascii="Cambria Math" w:hAnsi="Cambria Math" w:cs="Cambria Math"/>
          <w:b/>
          <w:bCs/>
          <w:sz w:val="20"/>
          <w:szCs w:val="20"/>
          <w:lang w:val="hy-AM"/>
        </w:rPr>
        <w:t>․</w:t>
      </w:r>
      <w:r w:rsidRPr="00605A07">
        <w:rPr>
          <w:b/>
          <w:bCs/>
          <w:sz w:val="20"/>
          <w:szCs w:val="20"/>
          <w:lang w:val="hy-AM"/>
        </w:rPr>
        <w:t>14 հազ</w:t>
      </w:r>
      <w:r w:rsidRPr="00605A07">
        <w:rPr>
          <w:rFonts w:ascii="Cambria Math" w:hAnsi="Cambria Math" w:cs="Cambria Math"/>
          <w:b/>
          <w:bCs/>
          <w:sz w:val="20"/>
          <w:szCs w:val="20"/>
          <w:lang w:val="hy-AM"/>
        </w:rPr>
        <w:t>․</w:t>
      </w:r>
      <w:r w:rsidRPr="00605A07">
        <w:rPr>
          <w:b/>
          <w:bCs/>
          <w:sz w:val="20"/>
          <w:szCs w:val="20"/>
          <w:lang w:val="hy-AM"/>
        </w:rPr>
        <w:t>դրամ</w:t>
      </w:r>
      <w:r w:rsidRPr="00605A07">
        <w:rPr>
          <w:sz w:val="20"/>
          <w:szCs w:val="20"/>
          <w:lang w:val="hy-AM"/>
        </w:rPr>
        <w:t>)։</w:t>
      </w:r>
    </w:p>
    <w:p w14:paraId="1B90D465" w14:textId="77777777" w:rsidR="00875721" w:rsidRPr="00605A07" w:rsidRDefault="00875721">
      <w:pPr>
        <w:rPr>
          <w:sz w:val="20"/>
          <w:szCs w:val="20"/>
          <w:lang w:val="hy-AM"/>
        </w:rPr>
      </w:pPr>
      <w:r w:rsidRPr="00605A07">
        <w:rPr>
          <w:sz w:val="20"/>
          <w:szCs w:val="20"/>
          <w:lang w:val="hy-AM"/>
        </w:rPr>
        <w:t>N M6-ICB/CW-01-3 պայմանագրով տեղադրվել է</w:t>
      </w:r>
      <w:r w:rsidRPr="00605A07">
        <w:rPr>
          <w:rFonts w:cs="Calibri"/>
          <w:color w:val="000000"/>
          <w:sz w:val="20"/>
          <w:szCs w:val="20"/>
          <w:lang w:val="hy-AM"/>
        </w:rPr>
        <w:t xml:space="preserve"> </w:t>
      </w:r>
      <w:r w:rsidRPr="00605A07">
        <w:rPr>
          <w:rFonts w:cs="Calibri"/>
          <w:b/>
          <w:bCs/>
          <w:color w:val="000000"/>
          <w:sz w:val="20"/>
          <w:szCs w:val="20"/>
          <w:lang w:val="hy-AM"/>
        </w:rPr>
        <w:t>61361քմ</w:t>
      </w:r>
      <w:r w:rsidRPr="00605A07">
        <w:rPr>
          <w:rFonts w:cs="Calibri"/>
          <w:color w:val="000000"/>
          <w:sz w:val="20"/>
          <w:szCs w:val="20"/>
          <w:lang w:val="hy-AM"/>
        </w:rPr>
        <w:t xml:space="preserve"> </w:t>
      </w:r>
      <w:r w:rsidRPr="00605A07">
        <w:rPr>
          <w:sz w:val="20"/>
          <w:szCs w:val="20"/>
          <w:lang w:val="hy-AM"/>
        </w:rPr>
        <w:t xml:space="preserve">բիտումով կայունացված խճավազային խառնուրդի h=8սմ շերտ՝ </w:t>
      </w:r>
      <w:r w:rsidRPr="00605A07">
        <w:rPr>
          <w:b/>
          <w:bCs/>
          <w:sz w:val="20"/>
          <w:szCs w:val="20"/>
          <w:lang w:val="hy-AM"/>
        </w:rPr>
        <w:t>279,806</w:t>
      </w:r>
      <w:r w:rsidRPr="00605A07">
        <w:rPr>
          <w:rFonts w:ascii="Cambria Math" w:hAnsi="Cambria Math" w:cs="Cambria Math"/>
          <w:b/>
          <w:bCs/>
          <w:sz w:val="20"/>
          <w:szCs w:val="20"/>
          <w:lang w:val="hy-AM"/>
        </w:rPr>
        <w:t>․</w:t>
      </w:r>
      <w:r w:rsidRPr="00605A07">
        <w:rPr>
          <w:b/>
          <w:bCs/>
          <w:sz w:val="20"/>
          <w:szCs w:val="20"/>
          <w:lang w:val="hy-AM"/>
        </w:rPr>
        <w:t>16 հազ</w:t>
      </w:r>
      <w:r w:rsidRPr="00605A07">
        <w:rPr>
          <w:rFonts w:ascii="Cambria Math" w:hAnsi="Cambria Math" w:cs="Cambria Math"/>
          <w:b/>
          <w:bCs/>
          <w:sz w:val="20"/>
          <w:szCs w:val="20"/>
          <w:lang w:val="hy-AM"/>
        </w:rPr>
        <w:t>․</w:t>
      </w:r>
      <w:r w:rsidRPr="00605A07">
        <w:rPr>
          <w:b/>
          <w:bCs/>
          <w:sz w:val="20"/>
          <w:szCs w:val="20"/>
          <w:lang w:val="hy-AM"/>
        </w:rPr>
        <w:t>դրամ</w:t>
      </w:r>
      <w:r w:rsidRPr="00605A07">
        <w:rPr>
          <w:sz w:val="20"/>
          <w:szCs w:val="20"/>
          <w:lang w:val="hy-AM"/>
        </w:rPr>
        <w:t xml:space="preserve"> արժեքով (նախահաշվային արժեքը՝ </w:t>
      </w:r>
      <w:r w:rsidRPr="00605A07">
        <w:rPr>
          <w:b/>
          <w:bCs/>
          <w:sz w:val="20"/>
          <w:szCs w:val="20"/>
          <w:lang w:val="hy-AM"/>
        </w:rPr>
        <w:t>417,155</w:t>
      </w:r>
      <w:r w:rsidRPr="00605A07">
        <w:rPr>
          <w:rFonts w:ascii="Cambria Math" w:hAnsi="Cambria Math" w:cs="Cambria Math"/>
          <w:b/>
          <w:bCs/>
          <w:sz w:val="20"/>
          <w:szCs w:val="20"/>
          <w:lang w:val="hy-AM"/>
        </w:rPr>
        <w:t>․</w:t>
      </w:r>
      <w:r w:rsidRPr="00605A07">
        <w:rPr>
          <w:b/>
          <w:bCs/>
          <w:sz w:val="20"/>
          <w:szCs w:val="20"/>
          <w:lang w:val="hy-AM"/>
        </w:rPr>
        <w:t>47 հազ</w:t>
      </w:r>
      <w:r w:rsidRPr="00605A07">
        <w:rPr>
          <w:rFonts w:ascii="Cambria Math" w:hAnsi="Cambria Math" w:cs="Cambria Math"/>
          <w:b/>
          <w:bCs/>
          <w:sz w:val="20"/>
          <w:szCs w:val="20"/>
          <w:lang w:val="hy-AM"/>
        </w:rPr>
        <w:t>․</w:t>
      </w:r>
      <w:r w:rsidRPr="00605A07">
        <w:rPr>
          <w:b/>
          <w:bCs/>
          <w:sz w:val="20"/>
          <w:szCs w:val="20"/>
          <w:lang w:val="hy-AM"/>
        </w:rPr>
        <w:t>դրամ</w:t>
      </w:r>
      <w:r w:rsidRPr="00605A07">
        <w:rPr>
          <w:sz w:val="20"/>
          <w:szCs w:val="20"/>
          <w:lang w:val="hy-AM"/>
        </w:rPr>
        <w:t>)։</w:t>
      </w:r>
    </w:p>
    <w:p w14:paraId="1E30F43F" w14:textId="77777777" w:rsidR="00875721" w:rsidRPr="00605A07" w:rsidRDefault="00875721">
      <w:pPr>
        <w:rPr>
          <w:sz w:val="20"/>
          <w:szCs w:val="20"/>
          <w:lang w:val="hy-AM"/>
        </w:rPr>
      </w:pPr>
      <w:r w:rsidRPr="00605A07">
        <w:rPr>
          <w:sz w:val="20"/>
          <w:szCs w:val="20"/>
          <w:lang w:val="hy-AM"/>
        </w:rPr>
        <w:t xml:space="preserve">Ընդհանուր առմամբ 3 պայմանագրերի շրջանակներում </w:t>
      </w:r>
      <w:r w:rsidRPr="00605A07">
        <w:rPr>
          <w:b/>
          <w:bCs/>
          <w:sz w:val="20"/>
          <w:szCs w:val="20"/>
          <w:lang w:val="hy-AM"/>
        </w:rPr>
        <w:t>1,147,030</w:t>
      </w:r>
      <w:r w:rsidRPr="00605A07">
        <w:rPr>
          <w:rFonts w:ascii="Cambria Math" w:hAnsi="Cambria Math" w:cs="Cambria Math"/>
          <w:b/>
          <w:bCs/>
          <w:sz w:val="20"/>
          <w:szCs w:val="20"/>
          <w:lang w:val="hy-AM"/>
        </w:rPr>
        <w:t>․</w:t>
      </w:r>
      <w:r w:rsidRPr="00605A07">
        <w:rPr>
          <w:b/>
          <w:bCs/>
          <w:sz w:val="20"/>
          <w:szCs w:val="20"/>
          <w:lang w:val="hy-AM"/>
        </w:rPr>
        <w:t>84 հազ</w:t>
      </w:r>
      <w:r w:rsidRPr="00605A07">
        <w:rPr>
          <w:rFonts w:ascii="Cambria Math" w:hAnsi="Cambria Math" w:cs="Cambria Math"/>
          <w:b/>
          <w:bCs/>
          <w:sz w:val="20"/>
          <w:szCs w:val="20"/>
          <w:lang w:val="hy-AM"/>
        </w:rPr>
        <w:t>․</w:t>
      </w:r>
      <w:r w:rsidRPr="00605A07">
        <w:rPr>
          <w:b/>
          <w:bCs/>
          <w:sz w:val="20"/>
          <w:szCs w:val="20"/>
          <w:lang w:val="hy-AM"/>
        </w:rPr>
        <w:t xml:space="preserve"> դրամով</w:t>
      </w:r>
      <w:r w:rsidRPr="00605A07">
        <w:rPr>
          <w:sz w:val="20"/>
          <w:szCs w:val="20"/>
          <w:lang w:val="hy-AM"/>
        </w:rPr>
        <w:t xml:space="preserve"> կատարվել է </w:t>
      </w:r>
      <w:r w:rsidRPr="00605A07">
        <w:rPr>
          <w:b/>
          <w:bCs/>
          <w:sz w:val="20"/>
          <w:szCs w:val="20"/>
          <w:lang w:val="hy-AM"/>
        </w:rPr>
        <w:t>1,660,294</w:t>
      </w:r>
      <w:r w:rsidRPr="00605A07">
        <w:rPr>
          <w:rFonts w:ascii="Cambria Math" w:hAnsi="Cambria Math" w:cs="Cambria Math"/>
          <w:b/>
          <w:bCs/>
          <w:sz w:val="20"/>
          <w:szCs w:val="20"/>
          <w:lang w:val="hy-AM"/>
        </w:rPr>
        <w:t>․</w:t>
      </w:r>
      <w:r w:rsidRPr="00605A07">
        <w:rPr>
          <w:b/>
          <w:bCs/>
          <w:sz w:val="20"/>
          <w:szCs w:val="20"/>
          <w:lang w:val="hy-AM"/>
        </w:rPr>
        <w:t>52 հազ</w:t>
      </w:r>
      <w:r w:rsidRPr="00605A07">
        <w:rPr>
          <w:rFonts w:ascii="Cambria Math" w:hAnsi="Cambria Math" w:cs="Cambria Math"/>
          <w:b/>
          <w:bCs/>
          <w:sz w:val="20"/>
          <w:szCs w:val="20"/>
          <w:lang w:val="hy-AM"/>
        </w:rPr>
        <w:t>․</w:t>
      </w:r>
      <w:r w:rsidRPr="00605A07">
        <w:rPr>
          <w:b/>
          <w:bCs/>
          <w:sz w:val="20"/>
          <w:szCs w:val="20"/>
          <w:lang w:val="hy-AM"/>
        </w:rPr>
        <w:t xml:space="preserve"> դրամ</w:t>
      </w:r>
      <w:r w:rsidRPr="00605A07">
        <w:rPr>
          <w:sz w:val="20"/>
          <w:szCs w:val="20"/>
          <w:lang w:val="hy-AM"/>
        </w:rPr>
        <w:t xml:space="preserve"> նախահաշվային արժեքով աշխատանքներ:</w:t>
      </w:r>
    </w:p>
    <w:p w14:paraId="38F8CB23" w14:textId="0781B65A"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7F246BED" w14:textId="77777777" w:rsidR="006B6F52" w:rsidRPr="00FF16B1" w:rsidRDefault="008F4F17" w:rsidP="00FF16B1">
      <w:pPr>
        <w:spacing w:before="240" w:after="0"/>
        <w:ind w:firstLine="567"/>
        <w:rPr>
          <w:sz w:val="20"/>
          <w:szCs w:val="20"/>
          <w:lang w:val="hy-AM"/>
        </w:rPr>
      </w:pPr>
      <w:r w:rsidRPr="00FF16B1">
        <w:rPr>
          <w:sz w:val="20"/>
          <w:szCs w:val="20"/>
          <w:lang w:val="hy-AM"/>
        </w:rPr>
        <w:t xml:space="preserve">«Չի ազդում» և «կատարվում է համարժեք փոփոխություն» հոմանիշ լինելու հիմքով հաշվեքննողի դատողությունը հաշվեքննության օբյեկտի կողմից որպես սուբյեկտիվ գնահատումը և ըստ այդմ՝ «չի ազդում» արտահայտությունը «վատ իմաստով չի ազդում» սուբյեկտիվ մեկնաբանությունը չեն փոխում արձանագրված փաստի բովանդակությունը։» </w:t>
      </w:r>
    </w:p>
    <w:p w14:paraId="1690CE43" w14:textId="285226FA" w:rsidR="00F61881" w:rsidRPr="00FF16B1" w:rsidRDefault="00F61881" w:rsidP="00FF16B1">
      <w:pPr>
        <w:spacing w:before="240" w:after="0"/>
        <w:ind w:firstLine="567"/>
        <w:rPr>
          <w:sz w:val="20"/>
          <w:szCs w:val="20"/>
          <w:lang w:val="hy-AM"/>
        </w:rPr>
      </w:pPr>
      <w:r w:rsidRPr="00FF16B1">
        <w:rPr>
          <w:sz w:val="20"/>
          <w:szCs w:val="20"/>
          <w:lang w:val="hy-AM"/>
        </w:rPr>
        <w:t>Փոփոխությ</w:t>
      </w:r>
      <w:r w:rsidR="006B6F52" w:rsidRPr="00FF16B1">
        <w:rPr>
          <w:sz w:val="20"/>
          <w:szCs w:val="20"/>
          <w:lang w:val="hy-AM"/>
        </w:rPr>
        <w:t>ու</w:t>
      </w:r>
      <w:r w:rsidRPr="00FF16B1">
        <w:rPr>
          <w:sz w:val="20"/>
          <w:szCs w:val="20"/>
          <w:lang w:val="hy-AM"/>
        </w:rPr>
        <w:t>ն</w:t>
      </w:r>
      <w:r w:rsidR="006B6F52" w:rsidRPr="00FF16B1">
        <w:rPr>
          <w:sz w:val="20"/>
          <w:szCs w:val="20"/>
          <w:lang w:val="hy-AM"/>
        </w:rPr>
        <w:t>ը</w:t>
      </w:r>
      <w:r w:rsidRPr="00FF16B1">
        <w:rPr>
          <w:sz w:val="20"/>
          <w:szCs w:val="20"/>
          <w:lang w:val="hy-AM"/>
        </w:rPr>
        <w:t xml:space="preserve"> որևէ </w:t>
      </w:r>
      <w:r w:rsidR="006B6F52" w:rsidRPr="00FF16B1">
        <w:rPr>
          <w:sz w:val="20"/>
          <w:szCs w:val="20"/>
          <w:lang w:val="hy-AM"/>
        </w:rPr>
        <w:t xml:space="preserve">հաշվարկով չի հիմնավորվել։ Փոփոխության համար </w:t>
      </w:r>
      <w:r w:rsidRPr="00FF16B1">
        <w:rPr>
          <w:sz w:val="20"/>
          <w:szCs w:val="20"/>
          <w:lang w:val="hy-AM"/>
        </w:rPr>
        <w:t xml:space="preserve">որպես հիմնավորում նշվել է տեխնիկական հսկողության խմբի ղեկավարի անձնական փորձը։ Առարկություններին կից </w:t>
      </w:r>
      <w:r w:rsidRPr="00FF16B1">
        <w:rPr>
          <w:sz w:val="20"/>
          <w:szCs w:val="20"/>
          <w:lang w:val="hy-AM"/>
        </w:rPr>
        <w:lastRenderedPageBreak/>
        <w:t xml:space="preserve">ներկայացված «հաշվարկը» առկա չի եղել հաշվեքննությանը ներկայացված փաստաթղթերում և այն չի հանդիսացել փոփոխության հիմք։ Առաձգականության մոդուլի հաշվարկը հանդիսանում է նախագծային աշխատանքների մաս։ Համաձայն </w:t>
      </w:r>
      <w:r w:rsidR="00E40B94" w:rsidRPr="00FF16B1">
        <w:rPr>
          <w:sz w:val="20"/>
          <w:szCs w:val="20"/>
          <w:lang w:val="hy-AM"/>
        </w:rPr>
        <w:t xml:space="preserve">«Քաղաքաշինության մասին» ՀՀ օրենքի 17-րդ հոդվածի </w:t>
      </w:r>
      <w:r w:rsidR="00AA4752" w:rsidRPr="00FF16B1">
        <w:rPr>
          <w:sz w:val="20"/>
          <w:szCs w:val="20"/>
          <w:lang w:val="hy-AM"/>
        </w:rPr>
        <w:t xml:space="preserve">նախածային փաստաթղթերը հանդիսանում են քաղաքաշինական փաստաթղթեր, համաձայն </w:t>
      </w:r>
      <w:r w:rsidRPr="00FF16B1">
        <w:rPr>
          <w:sz w:val="20"/>
          <w:szCs w:val="20"/>
          <w:lang w:val="hy-AM"/>
        </w:rPr>
        <w:t xml:space="preserve">«Լիցենզավորման մասին» ՀՀ օրենքի </w:t>
      </w:r>
      <w:r w:rsidR="00AA4752" w:rsidRPr="00FF16B1">
        <w:rPr>
          <w:sz w:val="20"/>
          <w:szCs w:val="20"/>
          <w:lang w:val="hy-AM"/>
        </w:rPr>
        <w:t>43-րդ հոդվածի քաղաքաշինական փաստաթղթերի մշակումը հանդիսանում է լիցենզավորման ենթակա գործունեություն</w:t>
      </w:r>
      <w:r w:rsidR="006B6F52" w:rsidRPr="00FF16B1">
        <w:rPr>
          <w:sz w:val="20"/>
          <w:szCs w:val="20"/>
          <w:lang w:val="hy-AM"/>
        </w:rPr>
        <w:t xml:space="preserve">, իսկ պատվիրատուն չի ունեցել քաղաքաշինական փաստաթղթերի մշակմամբ զբաղվելու լիցենզիա։ Պատվիրատուն </w:t>
      </w:r>
      <w:r w:rsidR="00B54A0F" w:rsidRPr="00605A07">
        <w:rPr>
          <w:sz w:val="20"/>
          <w:szCs w:val="20"/>
          <w:lang w:val="hy-AM"/>
        </w:rPr>
        <w:t xml:space="preserve">«Արցախճան» ինստիտուտ ՓԲԸ-ի </w:t>
      </w:r>
      <w:r w:rsidR="00B54A0F" w:rsidRPr="00FF16B1">
        <w:rPr>
          <w:sz w:val="20"/>
          <w:szCs w:val="20"/>
          <w:lang w:val="hy-AM"/>
        </w:rPr>
        <w:t>հետ ունեցել է նախագծային փոփոխությունների խորհրդատվական ծառայությունների մատուցման պայմանագիր, որի շրջանակում էլ դիմել էր մասնագիտական եզրակացության տրամադր</w:t>
      </w:r>
      <w:r w:rsidR="007B37E9" w:rsidRPr="00FF16B1">
        <w:rPr>
          <w:sz w:val="20"/>
          <w:szCs w:val="20"/>
          <w:lang w:val="hy-AM"/>
        </w:rPr>
        <w:t>ելու</w:t>
      </w:r>
      <w:r w:rsidR="00B54A0F" w:rsidRPr="00FF16B1">
        <w:rPr>
          <w:sz w:val="20"/>
          <w:szCs w:val="20"/>
          <w:lang w:val="hy-AM"/>
        </w:rPr>
        <w:t xml:space="preserve"> խնդրանքով</w:t>
      </w:r>
      <w:r w:rsidR="00B54A0F" w:rsidRPr="00605A07">
        <w:rPr>
          <w:sz w:val="20"/>
          <w:szCs w:val="20"/>
          <w:lang w:val="hy-AM"/>
        </w:rPr>
        <w:t xml:space="preserve"> և </w:t>
      </w:r>
      <w:r w:rsidR="007B37E9" w:rsidRPr="00FF16B1">
        <w:rPr>
          <w:sz w:val="20"/>
          <w:szCs w:val="20"/>
          <w:lang w:val="hy-AM"/>
        </w:rPr>
        <w:t>որը</w:t>
      </w:r>
      <w:r w:rsidR="00B54A0F" w:rsidRPr="00605A07">
        <w:rPr>
          <w:sz w:val="20"/>
          <w:szCs w:val="20"/>
          <w:lang w:val="hy-AM"/>
        </w:rPr>
        <w:t xml:space="preserve"> պետք է </w:t>
      </w:r>
      <w:r w:rsidR="007B37E9" w:rsidRPr="00FF16B1">
        <w:rPr>
          <w:sz w:val="20"/>
          <w:szCs w:val="20"/>
          <w:lang w:val="hy-AM"/>
        </w:rPr>
        <w:t xml:space="preserve">հաշվարկով հիմնավորվեր նշված շերտի հաստությունը։ Բացի այդ, </w:t>
      </w:r>
      <w:r w:rsidR="00AA4752" w:rsidRPr="00FF16B1">
        <w:rPr>
          <w:sz w:val="20"/>
          <w:szCs w:val="20"/>
          <w:lang w:val="hy-AM"/>
        </w:rPr>
        <w:t>առարկությամբ ըստ էության հիմնավորել են</w:t>
      </w:r>
      <w:r w:rsidR="004335AC" w:rsidRPr="00FF16B1">
        <w:rPr>
          <w:sz w:val="20"/>
          <w:szCs w:val="20"/>
          <w:lang w:val="hy-AM"/>
        </w:rPr>
        <w:t>,</w:t>
      </w:r>
      <w:r w:rsidR="00AA4752" w:rsidRPr="00FF16B1">
        <w:rPr>
          <w:sz w:val="20"/>
          <w:szCs w:val="20"/>
          <w:lang w:val="hy-AM"/>
        </w:rPr>
        <w:t xml:space="preserve"> որ 8սմ հաստությունը հիմնավոր չէ, քանի որ ըստ ներկայացրած </w:t>
      </w:r>
      <w:r w:rsidR="004335AC" w:rsidRPr="00FF16B1">
        <w:rPr>
          <w:sz w:val="20"/>
          <w:szCs w:val="20"/>
          <w:lang w:val="hy-AM"/>
        </w:rPr>
        <w:t>բացատրության</w:t>
      </w:r>
      <w:r w:rsidR="00AA4752" w:rsidRPr="00FF16B1">
        <w:rPr>
          <w:sz w:val="20"/>
          <w:szCs w:val="20"/>
          <w:lang w:val="hy-AM"/>
        </w:rPr>
        <w:t>, պատվածքի նախագծային ամրությունը հնարավոր էր ապահովել 8սմ-ից փոքր հաստությամբ շերտի կառուցմամբ։</w:t>
      </w:r>
    </w:p>
    <w:p w14:paraId="75074E3E" w14:textId="594F02BC" w:rsidR="004C25EE" w:rsidRPr="00FF16B1" w:rsidRDefault="004C25EE" w:rsidP="00FF16B1">
      <w:pPr>
        <w:spacing w:before="240" w:after="0"/>
        <w:ind w:firstLine="567"/>
        <w:rPr>
          <w:color w:val="000000"/>
          <w:sz w:val="20"/>
          <w:szCs w:val="20"/>
          <w:shd w:val="clear" w:color="auto" w:fill="FFFFFF"/>
          <w:lang w:val="hy-AM"/>
        </w:rPr>
      </w:pPr>
      <w:r w:rsidRPr="00FF16B1">
        <w:rPr>
          <w:sz w:val="20"/>
          <w:szCs w:val="20"/>
          <w:lang w:val="hy-AM"/>
        </w:rPr>
        <w:t>Ինչ վե</w:t>
      </w:r>
      <w:r w:rsidR="00C05904" w:rsidRPr="00FF16B1">
        <w:rPr>
          <w:sz w:val="20"/>
          <w:szCs w:val="20"/>
          <w:lang w:val="hy-AM"/>
        </w:rPr>
        <w:t>ր</w:t>
      </w:r>
      <w:r w:rsidRPr="00FF16B1">
        <w:rPr>
          <w:sz w:val="20"/>
          <w:szCs w:val="20"/>
          <w:lang w:val="hy-AM"/>
        </w:rPr>
        <w:t xml:space="preserve">աբերվում է </w:t>
      </w:r>
      <w:r w:rsidR="00F35569" w:rsidRPr="00FF16B1">
        <w:rPr>
          <w:sz w:val="20"/>
          <w:szCs w:val="20"/>
          <w:lang w:val="hy-AM"/>
        </w:rPr>
        <w:t>որպես «</w:t>
      </w:r>
      <w:r w:rsidR="00C05904" w:rsidRPr="00FF16B1">
        <w:rPr>
          <w:sz w:val="20"/>
          <w:szCs w:val="20"/>
          <w:lang w:val="hy-AM"/>
        </w:rPr>
        <w:t xml:space="preserve">8 սմ հաստությամբ </w:t>
      </w:r>
      <w:r w:rsidRPr="006B6F52">
        <w:rPr>
          <w:sz w:val="20"/>
          <w:szCs w:val="20"/>
          <w:lang w:val="hy-AM"/>
        </w:rPr>
        <w:t>բիտումով կայունացված խճավազային խառնուրդի նախահաշվային միավոր արժեք</w:t>
      </w:r>
      <w:r w:rsidR="00F35569" w:rsidRPr="006B6F52">
        <w:rPr>
          <w:sz w:val="20"/>
          <w:szCs w:val="20"/>
          <w:lang w:val="hy-AM"/>
        </w:rPr>
        <w:t>ներ» ներկայացրած հաշվարկների</w:t>
      </w:r>
      <w:r w:rsidR="008A4328" w:rsidRPr="006B6F52">
        <w:rPr>
          <w:sz w:val="20"/>
          <w:szCs w:val="20"/>
          <w:lang w:val="hy-AM"/>
        </w:rPr>
        <w:t>,</w:t>
      </w:r>
      <w:r w:rsidR="00F35569" w:rsidRPr="006B6F52">
        <w:rPr>
          <w:sz w:val="20"/>
          <w:szCs w:val="20"/>
          <w:lang w:val="hy-AM"/>
        </w:rPr>
        <w:t xml:space="preserve"> ապա</w:t>
      </w:r>
      <w:r w:rsidR="007B37E9" w:rsidRPr="00FF16B1">
        <w:rPr>
          <w:sz w:val="20"/>
          <w:szCs w:val="20"/>
          <w:lang w:val="hy-AM"/>
        </w:rPr>
        <w:t xml:space="preserve"> </w:t>
      </w:r>
      <w:r w:rsidR="00F35569" w:rsidRPr="006B6F52">
        <w:rPr>
          <w:sz w:val="20"/>
          <w:szCs w:val="20"/>
          <w:lang w:val="hy-AM"/>
        </w:rPr>
        <w:t xml:space="preserve">այդ հաշվարկները չեն համապատասխանում ՀՀ կառավարության 23.06.2011թ-ի թիվ 879-Ն որոշմամբ </w:t>
      </w:r>
      <w:r w:rsidR="004335AC" w:rsidRPr="006B6F52">
        <w:rPr>
          <w:sz w:val="20"/>
          <w:szCs w:val="20"/>
          <w:lang w:val="hy-AM"/>
        </w:rPr>
        <w:t xml:space="preserve">և </w:t>
      </w:r>
      <w:r w:rsidR="007B37E9" w:rsidRPr="00FF16B1">
        <w:rPr>
          <w:sz w:val="20"/>
          <w:szCs w:val="20"/>
          <w:lang w:val="hy-AM"/>
        </w:rPr>
        <w:t xml:space="preserve"> </w:t>
      </w:r>
      <w:r w:rsidR="004335AC" w:rsidRPr="006B6F52">
        <w:rPr>
          <w:sz w:val="20"/>
          <w:szCs w:val="20"/>
          <w:lang w:val="hy-AM"/>
        </w:rPr>
        <w:t xml:space="preserve">ՀՀ քաղաքաշինության նախարարի </w:t>
      </w:r>
      <w:r w:rsidR="004335AC" w:rsidRPr="00B01F1B">
        <w:rPr>
          <w:sz w:val="20"/>
          <w:szCs w:val="20"/>
          <w:lang w:val="hy-AM"/>
        </w:rPr>
        <w:t xml:space="preserve">2008 թվականի հունիս 16-ի թիվ </w:t>
      </w:r>
      <w:r w:rsidR="00F35569" w:rsidRPr="00B01F1B">
        <w:rPr>
          <w:sz w:val="20"/>
          <w:szCs w:val="20"/>
          <w:lang w:val="hy-AM"/>
        </w:rPr>
        <w:t>հ</w:t>
      </w:r>
      <w:r w:rsidR="004335AC" w:rsidRPr="00B01F1B">
        <w:rPr>
          <w:sz w:val="20"/>
          <w:szCs w:val="20"/>
          <w:lang w:val="hy-AM"/>
        </w:rPr>
        <w:t>41-Ն հրամանով հ</w:t>
      </w:r>
      <w:r w:rsidR="00F35569" w:rsidRPr="00B01F1B">
        <w:rPr>
          <w:sz w:val="20"/>
          <w:szCs w:val="20"/>
          <w:lang w:val="hy-AM"/>
        </w:rPr>
        <w:t>աստատված «Գործող գներով շինարարական աշխատանքների արժեքի հաշվարկման կարգի պահանջներին»</w:t>
      </w:r>
      <w:r w:rsidR="007B37E9" w:rsidRPr="00FF16B1">
        <w:rPr>
          <w:sz w:val="20"/>
          <w:szCs w:val="20"/>
          <w:lang w:val="hy-AM"/>
        </w:rPr>
        <w:t xml:space="preserve"> և նշված չեն թե հաշվարկները ում կողմից են կատարվել</w:t>
      </w:r>
      <w:r w:rsidR="00F35569" w:rsidRPr="00B01F1B">
        <w:rPr>
          <w:sz w:val="20"/>
          <w:szCs w:val="20"/>
          <w:lang w:val="hy-AM"/>
        </w:rPr>
        <w:t xml:space="preserve">։ </w:t>
      </w:r>
      <w:r w:rsidR="00F35569" w:rsidRPr="00FF16B1">
        <w:rPr>
          <w:sz w:val="20"/>
          <w:szCs w:val="20"/>
          <w:lang w:val="hy-AM"/>
        </w:rPr>
        <w:t xml:space="preserve">Համաձայն սույն կարգի </w:t>
      </w:r>
      <w:r w:rsidR="00F35569" w:rsidRPr="00FF16B1">
        <w:rPr>
          <w:rFonts w:ascii="Calibri" w:hAnsi="Calibri" w:cs="Calibri"/>
          <w:color w:val="000000"/>
          <w:sz w:val="20"/>
          <w:szCs w:val="20"/>
          <w:shd w:val="clear" w:color="auto" w:fill="FFFFFF"/>
          <w:lang w:val="hy-AM"/>
        </w:rPr>
        <w:t> </w:t>
      </w:r>
      <w:r w:rsidR="00035D4A" w:rsidRPr="00FF16B1">
        <w:rPr>
          <w:rFonts w:cs="Calibri"/>
          <w:color w:val="000000"/>
          <w:sz w:val="20"/>
          <w:szCs w:val="20"/>
          <w:shd w:val="clear" w:color="auto" w:fill="FFFFFF"/>
          <w:lang w:val="hy-AM"/>
        </w:rPr>
        <w:t xml:space="preserve">17-րդ կետի հաշվարկում նյութերի </w:t>
      </w:r>
      <w:r w:rsidR="00F35569" w:rsidRPr="00FF16B1">
        <w:rPr>
          <w:color w:val="000000"/>
          <w:sz w:val="20"/>
          <w:szCs w:val="20"/>
          <w:shd w:val="clear" w:color="auto" w:fill="FFFFFF"/>
          <w:lang w:val="hy-AM"/>
        </w:rPr>
        <w:t xml:space="preserve">գների </w:t>
      </w:r>
      <w:r w:rsidR="00035D4A" w:rsidRPr="00FF16B1">
        <w:rPr>
          <w:color w:val="000000"/>
          <w:sz w:val="20"/>
          <w:szCs w:val="20"/>
          <w:shd w:val="clear" w:color="auto" w:fill="FFFFFF"/>
          <w:lang w:val="hy-AM"/>
        </w:rPr>
        <w:t xml:space="preserve">համար </w:t>
      </w:r>
      <w:r w:rsidR="00F35569" w:rsidRPr="00FF16B1">
        <w:rPr>
          <w:color w:val="000000"/>
          <w:sz w:val="20"/>
          <w:szCs w:val="20"/>
          <w:shd w:val="clear" w:color="auto" w:fill="FFFFFF"/>
          <w:lang w:val="hy-AM"/>
        </w:rPr>
        <w:t xml:space="preserve">հիմք է ծառայում ՀՀ </w:t>
      </w:r>
      <w:r w:rsidR="00035D4A" w:rsidRPr="00FF16B1">
        <w:rPr>
          <w:color w:val="000000"/>
          <w:sz w:val="20"/>
          <w:szCs w:val="20"/>
          <w:shd w:val="clear" w:color="auto" w:fill="FFFFFF"/>
          <w:lang w:val="hy-AM"/>
        </w:rPr>
        <w:t>ֆինանսների նախարարության կողմից հրատարակվող ինֆորմացիոն տեղեկագիրը</w:t>
      </w:r>
      <w:r w:rsidR="00F35569" w:rsidRPr="00FF16B1">
        <w:rPr>
          <w:color w:val="000000"/>
          <w:sz w:val="20"/>
          <w:szCs w:val="20"/>
          <w:shd w:val="clear" w:color="auto" w:fill="FFFFFF"/>
          <w:lang w:val="hy-AM"/>
        </w:rPr>
        <w:t>, իսկ տվյալների բացակայության դեպքում, շուկայի ուսումնասիրության արդյունքում արձանագրված տվյալները և գները հիմնավորող փաստաթղթերը</w:t>
      </w:r>
      <w:r w:rsidR="008A4328" w:rsidRPr="00FF16B1">
        <w:rPr>
          <w:color w:val="000000"/>
          <w:sz w:val="20"/>
          <w:szCs w:val="20"/>
          <w:shd w:val="clear" w:color="auto" w:fill="FFFFFF"/>
          <w:lang w:val="hy-AM"/>
        </w:rPr>
        <w:t>,</w:t>
      </w:r>
      <w:r w:rsidR="00035D4A" w:rsidRPr="00FF16B1">
        <w:rPr>
          <w:color w:val="000000"/>
          <w:sz w:val="20"/>
          <w:szCs w:val="20"/>
          <w:shd w:val="clear" w:color="auto" w:fill="FFFFFF"/>
          <w:lang w:val="hy-AM"/>
        </w:rPr>
        <w:t xml:space="preserve"> այնինչ ներկայացրած հաշվարկներում նյութի՝ բիտումով կայունացված խճավազային խառնուրդի </w:t>
      </w:r>
      <w:r w:rsidR="007B37E9" w:rsidRPr="00FF16B1">
        <w:rPr>
          <w:color w:val="000000"/>
          <w:sz w:val="20"/>
          <w:szCs w:val="20"/>
          <w:shd w:val="clear" w:color="auto" w:fill="FFFFFF"/>
          <w:lang w:val="hy-AM"/>
        </w:rPr>
        <w:t xml:space="preserve">գինը </w:t>
      </w:r>
      <w:r w:rsidR="00035D4A" w:rsidRPr="00FF16B1">
        <w:rPr>
          <w:color w:val="000000"/>
          <w:sz w:val="20"/>
          <w:szCs w:val="20"/>
          <w:shd w:val="clear" w:color="auto" w:fill="FFFFFF"/>
          <w:lang w:val="hy-AM"/>
        </w:rPr>
        <w:t xml:space="preserve">ընդունել են </w:t>
      </w:r>
      <w:r w:rsidR="007B37E9" w:rsidRPr="00FF16B1">
        <w:rPr>
          <w:color w:val="000000"/>
          <w:sz w:val="20"/>
          <w:szCs w:val="20"/>
          <w:shd w:val="clear" w:color="auto" w:fill="FFFFFF"/>
          <w:lang w:val="hy-AM"/>
        </w:rPr>
        <w:t>այդ նյութի արտադրության համար կազմած գնահաշվարկով ստացված գինը</w:t>
      </w:r>
      <w:r w:rsidR="00035D4A" w:rsidRPr="00FF16B1">
        <w:rPr>
          <w:color w:val="000000"/>
          <w:sz w:val="20"/>
          <w:szCs w:val="20"/>
          <w:shd w:val="clear" w:color="auto" w:fill="FFFFFF"/>
          <w:lang w:val="hy-AM"/>
        </w:rPr>
        <w:t>։</w:t>
      </w:r>
    </w:p>
    <w:p w14:paraId="5E76F5A3" w14:textId="3EF157C5" w:rsidR="00035D4A" w:rsidRPr="00FF16B1" w:rsidRDefault="00035D4A" w:rsidP="00FF16B1">
      <w:pPr>
        <w:spacing w:before="240" w:after="0"/>
        <w:ind w:firstLine="567"/>
        <w:rPr>
          <w:sz w:val="20"/>
          <w:szCs w:val="20"/>
          <w:lang w:val="hy-AM"/>
        </w:rPr>
      </w:pPr>
      <w:r w:rsidRPr="00FF16B1">
        <w:rPr>
          <w:color w:val="000000"/>
          <w:sz w:val="20"/>
          <w:szCs w:val="20"/>
          <w:shd w:val="clear" w:color="auto" w:fill="FFFFFF"/>
          <w:lang w:val="hy-AM"/>
        </w:rPr>
        <w:t>Մեր կողմից այդ աշխատանքների նախահաշվային արժեքի համար հիմք է ընդունվել ՀՀ ՏԿՆ-ի պատվերով «Ճաննախագիծ</w:t>
      </w:r>
      <w:r w:rsidR="00C101E6" w:rsidRPr="00FF16B1">
        <w:rPr>
          <w:color w:val="000000"/>
          <w:sz w:val="20"/>
          <w:szCs w:val="20"/>
          <w:shd w:val="clear" w:color="auto" w:fill="FFFFFF"/>
          <w:lang w:val="hy-AM"/>
        </w:rPr>
        <w:t xml:space="preserve"> ինստիտուտ</w:t>
      </w:r>
      <w:r w:rsidRPr="00FF16B1">
        <w:rPr>
          <w:color w:val="000000"/>
          <w:sz w:val="20"/>
          <w:szCs w:val="20"/>
          <w:shd w:val="clear" w:color="auto" w:fill="FFFFFF"/>
          <w:lang w:val="hy-AM"/>
        </w:rPr>
        <w:t xml:space="preserve">» ՍՊԸ-ի կողմից կազմված, փորձաքննություն անցած, </w:t>
      </w:r>
      <w:r w:rsidR="00C101E6" w:rsidRPr="00FF16B1">
        <w:rPr>
          <w:color w:val="000000"/>
          <w:sz w:val="20"/>
          <w:szCs w:val="20"/>
          <w:shd w:val="clear" w:color="auto" w:fill="FFFFFF"/>
          <w:lang w:val="hy-AM"/>
        </w:rPr>
        <w:t>«</w:t>
      </w:r>
      <w:r w:rsidRPr="00FF16B1">
        <w:rPr>
          <w:color w:val="000000"/>
          <w:sz w:val="20"/>
          <w:szCs w:val="20"/>
          <w:shd w:val="clear" w:color="auto" w:fill="FFFFFF"/>
          <w:lang w:val="hy-AM"/>
        </w:rPr>
        <w:t>Ա/ճ Հ-1-Հրազդան-Հ-55 ճանապարհի հիմնանորոգման աշխատանքների</w:t>
      </w:r>
      <w:r w:rsidR="00C101E6" w:rsidRPr="00FF16B1">
        <w:rPr>
          <w:color w:val="000000"/>
          <w:sz w:val="20"/>
          <w:szCs w:val="20"/>
          <w:shd w:val="clear" w:color="auto" w:fill="FFFFFF"/>
          <w:lang w:val="hy-AM"/>
        </w:rPr>
        <w:t>»</w:t>
      </w:r>
      <w:r w:rsidRPr="00FF16B1">
        <w:rPr>
          <w:color w:val="000000"/>
          <w:sz w:val="20"/>
          <w:szCs w:val="20"/>
          <w:shd w:val="clear" w:color="auto" w:fill="FFFFFF"/>
          <w:lang w:val="hy-AM"/>
        </w:rPr>
        <w:t xml:space="preserve"> նախահաշվում կիրառված նախահաշվային արժեքը։</w:t>
      </w:r>
    </w:p>
    <w:p w14:paraId="6E0A9D00" w14:textId="77777777" w:rsidR="008C59A1" w:rsidRPr="00650A93" w:rsidRDefault="008C59A1" w:rsidP="008C59A1">
      <w:pPr>
        <w:spacing w:before="240" w:after="0" w:line="240" w:lineRule="auto"/>
        <w:ind w:firstLine="567"/>
        <w:rPr>
          <w:sz w:val="22"/>
          <w:lang w:val="hy-AM"/>
        </w:rPr>
      </w:pPr>
    </w:p>
    <w:p w14:paraId="5070C122" w14:textId="20AB186C" w:rsidR="005D44B2" w:rsidRPr="005C082A" w:rsidRDefault="000F79B2" w:rsidP="00CB7FEB">
      <w:pPr>
        <w:ind w:firstLine="567"/>
        <w:rPr>
          <w:b/>
          <w:i/>
          <w:szCs w:val="24"/>
          <w:lang w:val="hy-AM"/>
        </w:rPr>
      </w:pPr>
      <w:r w:rsidRPr="005C082A">
        <w:rPr>
          <w:b/>
          <w:i/>
          <w:szCs w:val="24"/>
          <w:lang w:val="hy-AM"/>
        </w:rPr>
        <w:t>5.7</w:t>
      </w:r>
      <w:r w:rsidR="005D44B2" w:rsidRPr="005C082A">
        <w:rPr>
          <w:b/>
          <w:i/>
          <w:szCs w:val="24"/>
          <w:lang w:val="hy-AM"/>
        </w:rPr>
        <w:t xml:space="preserve">. Առկա է անհամապատասխանություն N M6-ICB/CW-01-2 պայմանագրի ՊԸՊ և ՊՀՊ 3.1 կետի </w:t>
      </w:r>
      <w:r w:rsidR="005D44B2" w:rsidRPr="003810E9">
        <w:rPr>
          <w:b/>
          <w:i/>
          <w:szCs w:val="24"/>
          <w:lang w:val="hy-AM"/>
        </w:rPr>
        <w:t>պահանջի հետ</w:t>
      </w:r>
    </w:p>
    <w:p w14:paraId="10AE1DBB" w14:textId="77777777" w:rsidR="005D44B2" w:rsidRPr="005C082A" w:rsidRDefault="005D44B2" w:rsidP="00CB7FEB">
      <w:pPr>
        <w:pStyle w:val="NormalWeb"/>
        <w:shd w:val="clear" w:color="auto" w:fill="FFFFFF"/>
        <w:spacing w:before="0" w:beforeAutospacing="0" w:after="0" w:afterAutospacing="0" w:line="276" w:lineRule="auto"/>
        <w:ind w:firstLine="567"/>
        <w:jc w:val="both"/>
        <w:rPr>
          <w:rFonts w:ascii="GHEA Grapalat" w:hAnsi="GHEA Grapalat"/>
          <w:b/>
          <w:color w:val="000000"/>
          <w:lang w:val="hy-AM"/>
        </w:rPr>
      </w:pPr>
      <w:r w:rsidRPr="005C082A">
        <w:rPr>
          <w:rStyle w:val="Strong"/>
          <w:rFonts w:ascii="GHEA Grapalat" w:hAnsi="GHEA Grapalat" w:cs="Arial Unicode"/>
          <w:b w:val="0"/>
          <w:color w:val="000000"/>
          <w:shd w:val="clear" w:color="auto" w:fill="FFFFFF"/>
          <w:lang w:val="hy-AM"/>
        </w:rPr>
        <w:t xml:space="preserve">Համաձայն </w:t>
      </w:r>
      <w:r w:rsidRPr="005C082A">
        <w:rPr>
          <w:rFonts w:ascii="GHEA Grapalat" w:hAnsi="GHEA Grapalat"/>
          <w:lang w:val="hy-AM"/>
        </w:rPr>
        <w:t>N M6-ICB/CW-01-2 պայմանագրի ՊԸՊ և ՊՀՊ 3.1 կետի պահանջի պայմանագրի կիրառելի օրենսդրությունը ՀՀ օրենսդրությունն է։</w:t>
      </w:r>
    </w:p>
    <w:p w14:paraId="02B74363" w14:textId="35B9D42E" w:rsidR="005D44B2" w:rsidRPr="005C082A" w:rsidRDefault="005D44B2" w:rsidP="00CB7FEB">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5C082A">
        <w:rPr>
          <w:rFonts w:ascii="GHEA Grapalat" w:hAnsi="GHEA Grapalat"/>
          <w:lang w:val="hy-AM"/>
        </w:rPr>
        <w:t xml:space="preserve">Համաձայն </w:t>
      </w:r>
      <w:r w:rsidR="009E7E12" w:rsidRPr="005C082A">
        <w:rPr>
          <w:rFonts w:ascii="GHEA Grapalat" w:hAnsi="GHEA Grapalat"/>
          <w:lang w:val="hy-AM"/>
        </w:rPr>
        <w:t>«</w:t>
      </w:r>
      <w:r w:rsidRPr="005C082A">
        <w:rPr>
          <w:rFonts w:ascii="GHEA Grapalat" w:hAnsi="GHEA Grapalat"/>
          <w:lang w:val="hy-AM"/>
        </w:rPr>
        <w:t>Երկաթուղային տրանսպորտի մասին»  ՀՀ օրենքի 15.1 հոդվածի 1-ին մասի օ</w:t>
      </w:r>
      <w:r w:rsidRPr="005C082A">
        <w:rPr>
          <w:rFonts w:ascii="GHEA Grapalat" w:hAnsi="GHEA Grapalat"/>
          <w:color w:val="000000"/>
          <w:lang w:val="hy-AM"/>
        </w:rPr>
        <w:t xml:space="preserve">տարման շերտի չափերը սահմանվում են կառավարության հաստատած </w:t>
      </w:r>
      <w:r w:rsidRPr="005C082A">
        <w:rPr>
          <w:rFonts w:ascii="GHEA Grapalat" w:hAnsi="GHEA Grapalat"/>
          <w:color w:val="000000"/>
          <w:lang w:val="hy-AM"/>
        </w:rPr>
        <w:lastRenderedPageBreak/>
        <w:t>նորմերի հիման վրա մշակված ճարտարապետաշինարարական նախագծերով` հաշվի առնելով սույն հոդվածի 2-րդ մասում նշված հողապաստառի չափերը:</w:t>
      </w:r>
    </w:p>
    <w:p w14:paraId="4BA0E622" w14:textId="3062BADC" w:rsidR="005D44B2" w:rsidRPr="005C082A" w:rsidRDefault="005D44B2" w:rsidP="00CB7FEB">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5C082A">
        <w:rPr>
          <w:rFonts w:ascii="GHEA Grapalat" w:hAnsi="GHEA Grapalat"/>
          <w:color w:val="000000"/>
          <w:lang w:val="hy-AM"/>
        </w:rPr>
        <w:t>Համաձայն նույն հոդվա</w:t>
      </w:r>
      <w:r w:rsidR="00654A42" w:rsidRPr="005C082A">
        <w:rPr>
          <w:rFonts w:ascii="GHEA Grapalat" w:hAnsi="GHEA Grapalat"/>
          <w:color w:val="000000"/>
          <w:lang w:val="hy-AM"/>
        </w:rPr>
        <w:t>ծ</w:t>
      </w:r>
      <w:r w:rsidRPr="005C082A">
        <w:rPr>
          <w:rFonts w:ascii="GHEA Grapalat" w:hAnsi="GHEA Grapalat"/>
          <w:color w:val="000000"/>
          <w:lang w:val="hy-AM"/>
        </w:rPr>
        <w:t>ի 2-րդ մասի կայարանամիջյան</w:t>
      </w:r>
      <w:r w:rsidRPr="005C082A">
        <w:rPr>
          <w:rFonts w:ascii="Calibri" w:hAnsi="Calibri" w:cs="Calibri"/>
          <w:color w:val="000000"/>
          <w:lang w:val="hy-AM"/>
        </w:rPr>
        <w:t> </w:t>
      </w:r>
      <w:r w:rsidRPr="005C082A">
        <w:rPr>
          <w:rFonts w:ascii="GHEA Grapalat" w:hAnsi="GHEA Grapalat" w:cs="Arial Unicode"/>
          <w:color w:val="000000"/>
          <w:lang w:val="hy-AM"/>
        </w:rPr>
        <w:t>երկաթուղային</w:t>
      </w:r>
      <w:r w:rsidRPr="005C082A">
        <w:rPr>
          <w:rFonts w:ascii="GHEA Grapalat" w:hAnsi="GHEA Grapalat"/>
          <w:color w:val="000000"/>
          <w:lang w:val="hy-AM"/>
        </w:rPr>
        <w:t xml:space="preserve"> </w:t>
      </w:r>
      <w:r w:rsidRPr="005C082A">
        <w:rPr>
          <w:rFonts w:ascii="GHEA Grapalat" w:hAnsi="GHEA Grapalat" w:cs="Arial Unicode"/>
          <w:color w:val="000000"/>
          <w:lang w:val="hy-AM"/>
        </w:rPr>
        <w:t>գծերի</w:t>
      </w:r>
      <w:r w:rsidRPr="005C082A">
        <w:rPr>
          <w:rFonts w:ascii="GHEA Grapalat" w:hAnsi="GHEA Grapalat"/>
          <w:color w:val="000000"/>
          <w:lang w:val="hy-AM"/>
        </w:rPr>
        <w:t xml:space="preserve"> </w:t>
      </w:r>
      <w:r w:rsidRPr="005C082A">
        <w:rPr>
          <w:rFonts w:ascii="GHEA Grapalat" w:hAnsi="GHEA Grapalat" w:cs="Arial Unicode"/>
          <w:color w:val="000000"/>
          <w:lang w:val="hy-AM"/>
        </w:rPr>
        <w:t>տեղակայման</w:t>
      </w:r>
      <w:r w:rsidRPr="005C082A">
        <w:rPr>
          <w:rFonts w:ascii="GHEA Grapalat" w:hAnsi="GHEA Grapalat"/>
          <w:color w:val="000000"/>
          <w:lang w:val="hy-AM"/>
        </w:rPr>
        <w:t xml:space="preserve"> </w:t>
      </w:r>
      <w:r w:rsidRPr="005C082A">
        <w:rPr>
          <w:rFonts w:ascii="GHEA Grapalat" w:hAnsi="GHEA Grapalat" w:cs="Arial Unicode"/>
          <w:color w:val="000000"/>
          <w:lang w:val="hy-AM"/>
        </w:rPr>
        <w:t>համար</w:t>
      </w:r>
      <w:r w:rsidRPr="005C082A">
        <w:rPr>
          <w:rFonts w:ascii="GHEA Grapalat" w:hAnsi="GHEA Grapalat"/>
          <w:color w:val="000000"/>
          <w:lang w:val="hy-AM"/>
        </w:rPr>
        <w:t xml:space="preserve"> </w:t>
      </w:r>
      <w:r w:rsidRPr="005C082A">
        <w:rPr>
          <w:rFonts w:ascii="GHEA Grapalat" w:hAnsi="GHEA Grapalat" w:cs="Arial Unicode"/>
          <w:color w:val="000000"/>
          <w:lang w:val="hy-AM"/>
        </w:rPr>
        <w:t>հատկացվող</w:t>
      </w:r>
      <w:r w:rsidRPr="005C082A">
        <w:rPr>
          <w:rFonts w:ascii="GHEA Grapalat" w:hAnsi="GHEA Grapalat"/>
          <w:color w:val="000000"/>
          <w:lang w:val="hy-AM"/>
        </w:rPr>
        <w:t xml:space="preserve"> </w:t>
      </w:r>
      <w:r w:rsidRPr="005C082A">
        <w:rPr>
          <w:rFonts w:ascii="GHEA Grapalat" w:hAnsi="GHEA Grapalat" w:cs="Arial Unicode"/>
          <w:color w:val="000000"/>
          <w:lang w:val="hy-AM"/>
        </w:rPr>
        <w:t>հող</w:t>
      </w:r>
      <w:r w:rsidRPr="005C082A">
        <w:rPr>
          <w:rFonts w:ascii="GHEA Grapalat" w:hAnsi="GHEA Grapalat"/>
          <w:color w:val="000000"/>
          <w:lang w:val="hy-AM"/>
        </w:rPr>
        <w:t>ամասի լայնությունը սահմանվում է համաձայն Հավելված 1-ի:</w:t>
      </w:r>
    </w:p>
    <w:p w14:paraId="76A996E5" w14:textId="77777777" w:rsidR="005D44B2" w:rsidRPr="005C082A" w:rsidRDefault="005D44B2" w:rsidP="00CB7FEB">
      <w:pPr>
        <w:pStyle w:val="NormalWeb"/>
        <w:shd w:val="clear" w:color="auto" w:fill="FFFFFF"/>
        <w:spacing w:before="0" w:beforeAutospacing="0" w:after="0" w:afterAutospacing="0" w:line="276" w:lineRule="auto"/>
        <w:ind w:firstLine="567"/>
        <w:jc w:val="both"/>
        <w:rPr>
          <w:rStyle w:val="Strong"/>
          <w:rFonts w:ascii="GHEA Grapalat" w:hAnsi="GHEA Grapalat" w:cs="Arial Unicode"/>
          <w:b w:val="0"/>
          <w:color w:val="000000"/>
          <w:shd w:val="clear" w:color="auto" w:fill="FFFFFF"/>
          <w:lang w:val="hy-AM"/>
        </w:rPr>
      </w:pPr>
      <w:r w:rsidRPr="00650A93">
        <w:rPr>
          <w:rFonts w:ascii="GHEA Grapalat" w:hAnsi="GHEA Grapalat"/>
          <w:color w:val="000000"/>
          <w:lang w:val="hy-AM"/>
        </w:rPr>
        <w:t xml:space="preserve">Համաձայն Հավելված 1-ի Աղյուսակ 1-ի և Աղյուսակ 2-ի </w:t>
      </w:r>
      <w:r w:rsidRPr="005C082A">
        <w:rPr>
          <w:rStyle w:val="Strong"/>
          <w:rFonts w:ascii="GHEA Grapalat" w:hAnsi="GHEA Grapalat"/>
          <w:b w:val="0"/>
          <w:color w:val="000000"/>
          <w:shd w:val="clear" w:color="auto" w:fill="FFFFFF"/>
          <w:lang w:val="hy-AM"/>
        </w:rPr>
        <w:t>միագիծ</w:t>
      </w:r>
      <w:r w:rsidRPr="005C082A">
        <w:rPr>
          <w:rStyle w:val="Strong"/>
          <w:rFonts w:ascii="Calibri" w:hAnsi="Calibri" w:cs="Calibri"/>
          <w:b w:val="0"/>
          <w:color w:val="000000"/>
          <w:shd w:val="clear" w:color="auto" w:fill="FFFFFF"/>
          <w:lang w:val="hy-AM"/>
        </w:rPr>
        <w:t> </w:t>
      </w:r>
      <w:r w:rsidRPr="005C082A">
        <w:rPr>
          <w:rStyle w:val="Strong"/>
          <w:rFonts w:ascii="GHEA Grapalat" w:hAnsi="GHEA Grapalat" w:cs="Arial Unicode"/>
          <w:b w:val="0"/>
          <w:color w:val="000000"/>
          <w:shd w:val="clear" w:color="auto" w:fill="FFFFFF"/>
          <w:lang w:val="hy-AM"/>
        </w:rPr>
        <w:t>երկաթուղային</w:t>
      </w:r>
      <w:r w:rsidRPr="005C082A">
        <w:rPr>
          <w:rStyle w:val="Strong"/>
          <w:rFonts w:ascii="GHEA Grapalat" w:hAnsi="GHEA Grapalat"/>
          <w:b w:val="0"/>
          <w:color w:val="000000"/>
          <w:shd w:val="clear" w:color="auto" w:fill="FFFFFF"/>
          <w:lang w:val="hy-AM"/>
        </w:rPr>
        <w:t xml:space="preserve"> </w:t>
      </w:r>
      <w:r w:rsidRPr="005C082A">
        <w:rPr>
          <w:rStyle w:val="Strong"/>
          <w:rFonts w:ascii="GHEA Grapalat" w:hAnsi="GHEA Grapalat" w:cs="Arial Unicode"/>
          <w:b w:val="0"/>
          <w:color w:val="000000"/>
          <w:shd w:val="clear" w:color="auto" w:fill="FFFFFF"/>
          <w:lang w:val="hy-AM"/>
        </w:rPr>
        <w:t>գծի</w:t>
      </w:r>
      <w:r w:rsidRPr="005C082A">
        <w:rPr>
          <w:rStyle w:val="Strong"/>
          <w:rFonts w:ascii="GHEA Grapalat" w:hAnsi="GHEA Grapalat"/>
          <w:b w:val="0"/>
          <w:color w:val="000000"/>
          <w:shd w:val="clear" w:color="auto" w:fill="FFFFFF"/>
          <w:lang w:val="hy-AM"/>
        </w:rPr>
        <w:t xml:space="preserve"> </w:t>
      </w:r>
      <w:r w:rsidRPr="005C082A">
        <w:rPr>
          <w:rStyle w:val="Strong"/>
          <w:rFonts w:ascii="GHEA Grapalat" w:hAnsi="GHEA Grapalat" w:cs="Arial Unicode"/>
          <w:b w:val="0"/>
          <w:color w:val="000000"/>
          <w:shd w:val="clear" w:color="auto" w:fill="FFFFFF"/>
          <w:lang w:val="hy-AM"/>
        </w:rPr>
        <w:t>հողապաստառի առավելագույն լայնությունը</w:t>
      </w:r>
      <w:r w:rsidRPr="005C082A">
        <w:rPr>
          <w:rStyle w:val="Strong"/>
          <w:rFonts w:ascii="GHEA Grapalat" w:hAnsi="GHEA Grapalat"/>
          <w:b w:val="0"/>
          <w:color w:val="000000"/>
          <w:shd w:val="clear" w:color="auto" w:fill="FFFFFF"/>
          <w:lang w:val="hy-AM"/>
        </w:rPr>
        <w:t xml:space="preserve"> </w:t>
      </w:r>
      <w:r w:rsidRPr="005C082A">
        <w:rPr>
          <w:rStyle w:val="Strong"/>
          <w:rFonts w:ascii="GHEA Grapalat" w:hAnsi="GHEA Grapalat" w:cs="Arial Unicode"/>
          <w:b w:val="0"/>
          <w:color w:val="000000"/>
          <w:shd w:val="clear" w:color="auto" w:fill="FFFFFF"/>
          <w:lang w:val="hy-AM"/>
        </w:rPr>
        <w:t>փորվածքի</w:t>
      </w:r>
      <w:r w:rsidRPr="005C082A">
        <w:rPr>
          <w:rStyle w:val="Strong"/>
          <w:rFonts w:ascii="GHEA Grapalat" w:hAnsi="GHEA Grapalat"/>
          <w:b w:val="0"/>
          <w:color w:val="000000"/>
          <w:shd w:val="clear" w:color="auto" w:fill="FFFFFF"/>
          <w:lang w:val="hy-AM"/>
        </w:rPr>
        <w:t xml:space="preserve"> </w:t>
      </w:r>
      <w:r w:rsidRPr="005C082A">
        <w:rPr>
          <w:rStyle w:val="Strong"/>
          <w:rFonts w:ascii="GHEA Grapalat" w:hAnsi="GHEA Grapalat" w:cs="Arial Unicode"/>
          <w:b w:val="0"/>
          <w:color w:val="000000"/>
          <w:shd w:val="clear" w:color="auto" w:fill="FFFFFF"/>
          <w:lang w:val="hy-AM"/>
        </w:rPr>
        <w:t>համար սահմանված է 54մ, իսկ հողաթմբի համար 49մ։</w:t>
      </w:r>
    </w:p>
    <w:p w14:paraId="630EB94A" w14:textId="46DD4F8F" w:rsidR="005D44B2" w:rsidRPr="005C082A" w:rsidRDefault="005D44B2" w:rsidP="00CB7FEB">
      <w:pPr>
        <w:ind w:firstLine="567"/>
        <w:rPr>
          <w:color w:val="000000"/>
          <w:szCs w:val="24"/>
          <w:shd w:val="clear" w:color="auto" w:fill="FFFFFF"/>
          <w:lang w:val="hy-AM"/>
        </w:rPr>
      </w:pPr>
      <w:r w:rsidRPr="005C082A">
        <w:rPr>
          <w:color w:val="000000"/>
          <w:szCs w:val="24"/>
          <w:shd w:val="clear" w:color="auto" w:fill="FFFFFF"/>
          <w:lang w:val="hy-AM"/>
        </w:rPr>
        <w:t xml:space="preserve">22.03.2017թ-ին Կապալառուն </w:t>
      </w:r>
      <w:r w:rsidRPr="005C082A">
        <w:rPr>
          <w:szCs w:val="24"/>
          <w:lang w:val="hy-AM"/>
        </w:rPr>
        <w:t xml:space="preserve">N </w:t>
      </w:r>
      <w:r w:rsidRPr="005C082A">
        <w:rPr>
          <w:color w:val="000000"/>
          <w:szCs w:val="24"/>
          <w:shd w:val="clear" w:color="auto" w:fill="FFFFFF"/>
          <w:lang w:val="hy-AM"/>
        </w:rPr>
        <w:t xml:space="preserve">Կ-08 գրությամբ դիմել է պատվիրատուին որում մի շարք այլ խնդիրների հետ նշել է նաև, որ </w:t>
      </w:r>
      <w:r w:rsidR="00CC4B0A" w:rsidRPr="005C082A">
        <w:rPr>
          <w:rFonts w:eastAsia="Times New Roman" w:cs="Arial"/>
          <w:color w:val="000000"/>
          <w:szCs w:val="24"/>
          <w:lang w:val="hy-AM"/>
        </w:rPr>
        <w:t>100գծմ երկարությամբ հատվածում (</w:t>
      </w:r>
      <w:r w:rsidRPr="005C082A">
        <w:rPr>
          <w:rFonts w:eastAsia="Times New Roman" w:cs="Arial"/>
          <w:color w:val="000000"/>
          <w:szCs w:val="24"/>
          <w:lang w:val="hy-AM"/>
        </w:rPr>
        <w:t>ԿՄ18+300-ԿՄ18+400</w:t>
      </w:r>
      <w:r w:rsidR="00CC4B0A" w:rsidRPr="005C082A">
        <w:rPr>
          <w:rFonts w:eastAsia="Times New Roman" w:cs="Arial"/>
          <w:color w:val="000000"/>
          <w:szCs w:val="24"/>
          <w:lang w:val="hy-AM"/>
        </w:rPr>
        <w:t>)</w:t>
      </w:r>
      <w:r w:rsidRPr="005C082A">
        <w:rPr>
          <w:rFonts w:eastAsia="Times New Roman" w:cs="Arial"/>
          <w:color w:val="000000"/>
          <w:szCs w:val="24"/>
          <w:lang w:val="hy-AM"/>
        </w:rPr>
        <w:t xml:space="preserve"> Հարավկովկասյան երկաթուղիներ ՓԲԸ-ն արգելում է իրականացնել հորատապայթեցման աշխատանքները ժայռային գրունտը հեռացնելու համար։</w:t>
      </w:r>
    </w:p>
    <w:p w14:paraId="05FFBAD9" w14:textId="6A81BC40" w:rsidR="00CC4B0A" w:rsidRPr="005C082A" w:rsidRDefault="005D44B2" w:rsidP="00CB7FEB">
      <w:pPr>
        <w:ind w:firstLine="567"/>
        <w:rPr>
          <w:szCs w:val="24"/>
          <w:u w:val="single"/>
          <w:lang w:val="hy-AM"/>
        </w:rPr>
      </w:pPr>
      <w:r w:rsidRPr="005C082A">
        <w:rPr>
          <w:szCs w:val="24"/>
          <w:lang w:val="hy-AM"/>
        </w:rPr>
        <w:t xml:space="preserve">Պատվիրատուն 30.03.2017թ N 200 գրությամբ դիմել է Կապալառուին, տեխնիկական հսկողությունն իրականացնողին և նախագծող Խորհրդատուին </w:t>
      </w:r>
      <w:r w:rsidR="00CC4B0A" w:rsidRPr="005C082A">
        <w:rPr>
          <w:szCs w:val="24"/>
          <w:lang w:val="hy-AM"/>
        </w:rPr>
        <w:t xml:space="preserve">խնդրելով առաջարկել այդ </w:t>
      </w:r>
      <w:r w:rsidRPr="005C082A">
        <w:rPr>
          <w:szCs w:val="24"/>
          <w:lang w:val="hy-AM"/>
        </w:rPr>
        <w:t xml:space="preserve">հատվածում նախատեսված հորատապայթեցման աշխատանքների այլընտրանքային տարբերակներ՝ այդ </w:t>
      </w:r>
      <w:r w:rsidRPr="005C082A">
        <w:rPr>
          <w:szCs w:val="24"/>
          <w:u w:val="single"/>
          <w:lang w:val="hy-AM"/>
        </w:rPr>
        <w:t xml:space="preserve">աշխատանքների </w:t>
      </w:r>
      <w:r w:rsidR="00CC4B0A" w:rsidRPr="005C082A">
        <w:rPr>
          <w:szCs w:val="24"/>
          <w:u w:val="single"/>
          <w:lang w:val="hy-AM"/>
        </w:rPr>
        <w:t>պայմանագրային</w:t>
      </w:r>
      <w:r w:rsidR="00330508" w:rsidRPr="005C082A">
        <w:rPr>
          <w:szCs w:val="24"/>
          <w:u w:val="single"/>
          <w:lang w:val="hy-AM"/>
        </w:rPr>
        <w:t xml:space="preserve"> միավոր գնի սահմաններում</w:t>
      </w:r>
      <w:r w:rsidR="00CC4B0A" w:rsidRPr="005C082A">
        <w:rPr>
          <w:szCs w:val="24"/>
          <w:u w:val="single"/>
          <w:lang w:val="hy-AM"/>
        </w:rPr>
        <w:t>։</w:t>
      </w:r>
    </w:p>
    <w:p w14:paraId="2DC9EE6E" w14:textId="3B0650C7" w:rsidR="005D44B2" w:rsidRPr="005C082A" w:rsidRDefault="00B05911">
      <w:pPr>
        <w:ind w:firstLine="567"/>
        <w:rPr>
          <w:szCs w:val="24"/>
          <w:lang w:val="hy-AM"/>
        </w:rPr>
      </w:pPr>
      <w:r w:rsidRPr="005C082A">
        <w:rPr>
          <w:szCs w:val="24"/>
          <w:lang w:val="hy-AM"/>
        </w:rPr>
        <w:t xml:space="preserve">Չնայած </w:t>
      </w:r>
      <w:r w:rsidR="00CC4B0A" w:rsidRPr="005C082A">
        <w:rPr>
          <w:szCs w:val="24"/>
          <w:lang w:val="hy-AM"/>
        </w:rPr>
        <w:t xml:space="preserve">նրան, </w:t>
      </w:r>
      <w:r w:rsidRPr="005C082A">
        <w:rPr>
          <w:szCs w:val="24"/>
          <w:lang w:val="hy-AM"/>
        </w:rPr>
        <w:t xml:space="preserve">որ </w:t>
      </w:r>
      <w:r w:rsidR="00CC4B0A" w:rsidRPr="005C082A">
        <w:rPr>
          <w:szCs w:val="24"/>
          <w:lang w:val="hy-AM"/>
        </w:rPr>
        <w:t>կապալառուն սկզբնական գրությունում</w:t>
      </w:r>
      <w:r w:rsidR="00330508" w:rsidRPr="005C082A">
        <w:rPr>
          <w:szCs w:val="24"/>
          <w:lang w:val="hy-AM"/>
        </w:rPr>
        <w:t xml:space="preserve"> խնդրահարույց է համարել 100գծմ երկարությամբ հատվածը, իսկ </w:t>
      </w:r>
      <w:r w:rsidR="00CC4B0A" w:rsidRPr="005C082A">
        <w:rPr>
          <w:szCs w:val="24"/>
          <w:lang w:val="hy-AM"/>
        </w:rPr>
        <w:t xml:space="preserve">պատվիրատուն խնդրել է պայմամագրային միավոր գնի սահմաներում առաջարկություններ ներկայացնել </w:t>
      </w:r>
      <w:r w:rsidR="00330508" w:rsidRPr="005C082A">
        <w:rPr>
          <w:szCs w:val="24"/>
          <w:lang w:val="hy-AM"/>
        </w:rPr>
        <w:t xml:space="preserve">հենց այդ՝ </w:t>
      </w:r>
      <w:r w:rsidR="00CC4B0A" w:rsidRPr="005C082A">
        <w:rPr>
          <w:szCs w:val="24"/>
          <w:lang w:val="hy-AM"/>
        </w:rPr>
        <w:t xml:space="preserve">100գծմ </w:t>
      </w:r>
      <w:r w:rsidR="00330508" w:rsidRPr="005C082A">
        <w:rPr>
          <w:szCs w:val="24"/>
          <w:lang w:val="hy-AM"/>
        </w:rPr>
        <w:t xml:space="preserve">երկարությամբ </w:t>
      </w:r>
      <w:r w:rsidR="00CC4B0A" w:rsidRPr="005C082A">
        <w:rPr>
          <w:szCs w:val="24"/>
          <w:lang w:val="hy-AM"/>
        </w:rPr>
        <w:t xml:space="preserve">հատվածի վերաբերյալ, </w:t>
      </w:r>
      <w:r w:rsidR="00330508" w:rsidRPr="005C082A">
        <w:rPr>
          <w:szCs w:val="24"/>
          <w:lang w:val="hy-AM"/>
        </w:rPr>
        <w:t>արդեն որպես պատվիրատուի վերը հիշատակված  խնդրանքին ի պատասխան,</w:t>
      </w:r>
      <w:r w:rsidR="005D44B2" w:rsidRPr="005C082A">
        <w:rPr>
          <w:szCs w:val="24"/>
          <w:lang w:val="hy-AM"/>
        </w:rPr>
        <w:t xml:space="preserve"> 2017թ ապրիլի 11-ի Կ-13 գրությամբ</w:t>
      </w:r>
      <w:r w:rsidR="00CC4B0A" w:rsidRPr="005C082A">
        <w:rPr>
          <w:szCs w:val="24"/>
          <w:lang w:val="hy-AM"/>
        </w:rPr>
        <w:t xml:space="preserve">,  </w:t>
      </w:r>
      <w:r w:rsidR="00330508" w:rsidRPr="005C082A">
        <w:rPr>
          <w:szCs w:val="24"/>
          <w:lang w:val="hy-AM"/>
        </w:rPr>
        <w:t>Կապալառուն</w:t>
      </w:r>
      <w:r w:rsidR="00CC4B0A" w:rsidRPr="005C082A">
        <w:rPr>
          <w:szCs w:val="24"/>
          <w:lang w:val="hy-AM"/>
        </w:rPr>
        <w:t xml:space="preserve"> անդրադարձ է կատարել 725գծմ հատվածի</w:t>
      </w:r>
      <w:r w:rsidR="005D44B2" w:rsidRPr="005C082A">
        <w:rPr>
          <w:szCs w:val="24"/>
          <w:lang w:val="hy-AM"/>
        </w:rPr>
        <w:t xml:space="preserve"> </w:t>
      </w:r>
      <w:r w:rsidR="00CC4B0A" w:rsidRPr="005C082A">
        <w:rPr>
          <w:szCs w:val="24"/>
          <w:lang w:val="hy-AM"/>
        </w:rPr>
        <w:t>(</w:t>
      </w:r>
      <w:r w:rsidR="005D44B2" w:rsidRPr="005C082A">
        <w:rPr>
          <w:szCs w:val="24"/>
          <w:lang w:val="hy-AM"/>
        </w:rPr>
        <w:t>ԿՄ17+625-ԿՄ18+400</w:t>
      </w:r>
      <w:r w:rsidR="00CC4B0A" w:rsidRPr="005C082A">
        <w:rPr>
          <w:szCs w:val="24"/>
          <w:lang w:val="hy-AM"/>
        </w:rPr>
        <w:t>) նշելով</w:t>
      </w:r>
      <w:r w:rsidR="00330508" w:rsidRPr="005C082A">
        <w:rPr>
          <w:szCs w:val="24"/>
          <w:lang w:val="hy-AM"/>
        </w:rPr>
        <w:t>,</w:t>
      </w:r>
      <w:r w:rsidR="00CC4B0A" w:rsidRPr="005C082A">
        <w:rPr>
          <w:szCs w:val="24"/>
          <w:lang w:val="hy-AM"/>
        </w:rPr>
        <w:t xml:space="preserve"> որ</w:t>
      </w:r>
      <w:r w:rsidR="00330508" w:rsidRPr="005C082A">
        <w:rPr>
          <w:szCs w:val="24"/>
          <w:lang w:val="hy-AM"/>
        </w:rPr>
        <w:t xml:space="preserve"> 725գծմ </w:t>
      </w:r>
      <w:r w:rsidR="005D44B2" w:rsidRPr="005C082A">
        <w:rPr>
          <w:szCs w:val="24"/>
          <w:lang w:val="hy-AM"/>
        </w:rPr>
        <w:t xml:space="preserve"> հատվածում ժայռային բնահողի մշակումը </w:t>
      </w:r>
      <w:r w:rsidR="005D44B2" w:rsidRPr="005C082A">
        <w:rPr>
          <w:b/>
          <w:szCs w:val="24"/>
          <w:u w:val="single"/>
          <w:lang w:val="hy-AM"/>
        </w:rPr>
        <w:t>կատարվել է</w:t>
      </w:r>
      <w:r w:rsidR="005D44B2" w:rsidRPr="005C082A">
        <w:rPr>
          <w:szCs w:val="24"/>
          <w:lang w:val="hy-AM"/>
        </w:rPr>
        <w:t xml:space="preserve"> հարվածամուրճի եղանակով </w:t>
      </w:r>
      <w:r w:rsidR="00330508" w:rsidRPr="005C082A">
        <w:rPr>
          <w:szCs w:val="24"/>
          <w:lang w:val="hy-AM"/>
        </w:rPr>
        <w:t xml:space="preserve">և առաջարկել է այն դիտարկել որպես այլընտրանք և աշխատանքները վերսկսելու համար պահանջել է </w:t>
      </w:r>
      <w:r w:rsidR="005D44B2" w:rsidRPr="005C082A">
        <w:rPr>
          <w:szCs w:val="24"/>
          <w:lang w:val="hy-AM"/>
        </w:rPr>
        <w:t>կազմել գործող գներով նախահաշիվ</w:t>
      </w:r>
      <w:r w:rsidR="00330508" w:rsidRPr="005C082A">
        <w:rPr>
          <w:szCs w:val="24"/>
          <w:lang w:val="hy-AM"/>
        </w:rPr>
        <w:t>։</w:t>
      </w:r>
    </w:p>
    <w:p w14:paraId="36CCC4C2" w14:textId="7C55ACFE" w:rsidR="005D44B2" w:rsidRPr="005C082A" w:rsidRDefault="005D44B2" w:rsidP="00CB7FEB">
      <w:pPr>
        <w:ind w:firstLine="567"/>
        <w:rPr>
          <w:rFonts w:eastAsia="Times New Roman" w:cs="Arial"/>
          <w:color w:val="000000"/>
          <w:szCs w:val="24"/>
          <w:lang w:val="hy-AM"/>
        </w:rPr>
      </w:pPr>
      <w:r w:rsidRPr="005C082A">
        <w:rPr>
          <w:szCs w:val="24"/>
          <w:lang w:val="hy-AM"/>
        </w:rPr>
        <w:t xml:space="preserve">Պատվիրատուն </w:t>
      </w:r>
      <w:r w:rsidR="00330508" w:rsidRPr="005C082A">
        <w:rPr>
          <w:szCs w:val="24"/>
          <w:lang w:val="hy-AM"/>
        </w:rPr>
        <w:t xml:space="preserve">20.04.2017թ-ին </w:t>
      </w:r>
      <w:r w:rsidRPr="005C082A">
        <w:rPr>
          <w:szCs w:val="24"/>
          <w:lang w:val="hy-AM"/>
        </w:rPr>
        <w:t>N 299 գրությամբ դիմել է Նախագծման խորհրդատուին և Տեղնիկական հսկիչին</w:t>
      </w:r>
      <w:r w:rsidR="00B05911" w:rsidRPr="005C082A">
        <w:rPr>
          <w:szCs w:val="24"/>
          <w:lang w:val="hy-AM"/>
        </w:rPr>
        <w:t>՝ առաջարկելով</w:t>
      </w:r>
      <w:r w:rsidRPr="005C082A">
        <w:rPr>
          <w:szCs w:val="24"/>
          <w:lang w:val="hy-AM"/>
        </w:rPr>
        <w:t xml:space="preserve"> </w:t>
      </w:r>
      <w:r w:rsidR="00B05911" w:rsidRPr="005C082A">
        <w:rPr>
          <w:rFonts w:eastAsia="Times New Roman" w:cs="Arial"/>
          <w:color w:val="000000"/>
          <w:szCs w:val="24"/>
          <w:lang w:val="hy-AM"/>
        </w:rPr>
        <w:t xml:space="preserve">ուսումնասիրել </w:t>
      </w:r>
      <w:r w:rsidRPr="005C082A">
        <w:rPr>
          <w:rFonts w:eastAsia="Times New Roman" w:cs="Arial"/>
          <w:color w:val="000000"/>
          <w:szCs w:val="24"/>
          <w:lang w:val="hy-AM"/>
        </w:rPr>
        <w:t>բարձրացված խնդիրները</w:t>
      </w:r>
      <w:r w:rsidRPr="003810E9">
        <w:rPr>
          <w:rFonts w:eastAsia="Times New Roman" w:cs="Arial"/>
          <w:color w:val="000000"/>
          <w:szCs w:val="24"/>
          <w:lang w:val="hy-AM"/>
        </w:rPr>
        <w:t xml:space="preserve"> և </w:t>
      </w:r>
      <w:r w:rsidRPr="003810E9">
        <w:rPr>
          <w:rFonts w:eastAsia="Times New Roman" w:cs="Arial"/>
          <w:b/>
          <w:color w:val="000000"/>
          <w:szCs w:val="24"/>
          <w:u w:val="single"/>
          <w:lang w:val="hy-AM"/>
        </w:rPr>
        <w:t>տալ մասնագիտական եզրակացություն</w:t>
      </w:r>
      <w:r w:rsidRPr="005C082A">
        <w:rPr>
          <w:rFonts w:eastAsia="Times New Roman" w:cs="Arial"/>
          <w:color w:val="000000"/>
          <w:szCs w:val="24"/>
          <w:lang w:val="hy-AM"/>
        </w:rPr>
        <w:t xml:space="preserve">, իսկ առարկություններ չունենալու դեպքում, ըստ անհրաժեշտության ներկայացնել </w:t>
      </w:r>
      <w:r w:rsidRPr="005C082A">
        <w:rPr>
          <w:rFonts w:eastAsia="Times New Roman" w:cs="Arial"/>
          <w:b/>
          <w:color w:val="000000"/>
          <w:szCs w:val="24"/>
          <w:u w:val="single"/>
          <w:lang w:val="hy-AM"/>
        </w:rPr>
        <w:t>ամփոփագրեր և վերահաշվարկ</w:t>
      </w:r>
      <w:r w:rsidRPr="005C082A">
        <w:rPr>
          <w:rFonts w:eastAsia="Times New Roman" w:cs="Arial"/>
          <w:color w:val="000000"/>
          <w:szCs w:val="24"/>
          <w:lang w:val="hy-AM"/>
        </w:rPr>
        <w:t>։</w:t>
      </w:r>
    </w:p>
    <w:p w14:paraId="68A5154D" w14:textId="49562B65" w:rsidR="005D44B2" w:rsidRPr="005C082A" w:rsidRDefault="005D44B2" w:rsidP="00CB7FEB">
      <w:pPr>
        <w:ind w:firstLine="567"/>
        <w:rPr>
          <w:rFonts w:eastAsia="Times New Roman" w:cs="Arial"/>
          <w:i/>
          <w:color w:val="000000"/>
          <w:szCs w:val="24"/>
          <w:lang w:val="hy-AM"/>
        </w:rPr>
      </w:pPr>
      <w:r w:rsidRPr="005C082A">
        <w:rPr>
          <w:rFonts w:eastAsia="Times New Roman" w:cs="Arial"/>
          <w:color w:val="000000"/>
          <w:szCs w:val="24"/>
          <w:lang w:val="hy-AM"/>
        </w:rPr>
        <w:lastRenderedPageBreak/>
        <w:t>Նախագծման խորհրդատուն</w:t>
      </w:r>
      <w:r w:rsidR="00330508" w:rsidRPr="005C082A">
        <w:rPr>
          <w:rFonts w:eastAsia="Times New Roman" w:cs="Arial"/>
          <w:color w:val="000000"/>
          <w:szCs w:val="24"/>
          <w:lang w:val="hy-AM"/>
        </w:rPr>
        <w:t>, պահանջված մասնագիտական եզրակացությունը տալու փոխարեն,</w:t>
      </w:r>
      <w:r w:rsidRPr="005C082A">
        <w:rPr>
          <w:rFonts w:eastAsia="Times New Roman" w:cs="Arial"/>
          <w:color w:val="000000"/>
          <w:szCs w:val="24"/>
          <w:lang w:val="hy-AM"/>
        </w:rPr>
        <w:t xml:space="preserve"> 19.05.2017թ</w:t>
      </w:r>
      <w:r w:rsidRPr="005C082A">
        <w:rPr>
          <w:color w:val="000000"/>
          <w:szCs w:val="24"/>
          <w:shd w:val="clear" w:color="auto" w:fill="FFFFFF"/>
          <w:lang w:val="hy-AM"/>
        </w:rPr>
        <w:t xml:space="preserve"> </w:t>
      </w:r>
      <w:r w:rsidRPr="005C082A">
        <w:rPr>
          <w:szCs w:val="24"/>
          <w:lang w:val="hy-AM"/>
        </w:rPr>
        <w:t xml:space="preserve">Ռ.Ս-70 </w:t>
      </w:r>
      <w:r w:rsidRPr="005C082A">
        <w:rPr>
          <w:rFonts w:eastAsia="Times New Roman" w:cs="Arial"/>
          <w:color w:val="000000"/>
          <w:szCs w:val="24"/>
          <w:lang w:val="hy-AM"/>
        </w:rPr>
        <w:t xml:space="preserve">գրությամբ պատասխանել է, որ </w:t>
      </w:r>
      <w:r w:rsidR="00330508" w:rsidRPr="005C082A">
        <w:rPr>
          <w:rFonts w:eastAsia="Times New Roman" w:cs="Arial"/>
          <w:color w:val="000000"/>
          <w:szCs w:val="24"/>
          <w:lang w:val="hy-AM"/>
        </w:rPr>
        <w:t xml:space="preserve">այդ </w:t>
      </w:r>
      <w:r w:rsidRPr="005C082A">
        <w:rPr>
          <w:rFonts w:eastAsia="Times New Roman" w:cs="Arial"/>
          <w:i/>
          <w:color w:val="000000"/>
          <w:szCs w:val="24"/>
          <w:lang w:val="hy-AM"/>
        </w:rPr>
        <w:t xml:space="preserve">«...տեղամասում հորատապայթեցման աշխատանքները </w:t>
      </w:r>
      <w:r w:rsidRPr="005C082A">
        <w:rPr>
          <w:rFonts w:eastAsia="Times New Roman" w:cs="Arial"/>
          <w:b/>
          <w:color w:val="000000"/>
          <w:szCs w:val="24"/>
          <w:u w:val="single"/>
          <w:lang w:val="hy-AM"/>
        </w:rPr>
        <w:t>Ձեր առաջարկով նախատեսվում է իրականացնել</w:t>
      </w:r>
      <w:r w:rsidRPr="005C082A">
        <w:rPr>
          <w:rFonts w:eastAsia="Times New Roman" w:cs="Arial"/>
          <w:i/>
          <w:color w:val="000000"/>
          <w:szCs w:val="24"/>
          <w:lang w:val="hy-AM"/>
        </w:rPr>
        <w:t xml:space="preserve"> այլընտրանքային տարբերակով, այն է՝ հիդրոմուրճով, որի միավորային գինը հաստատված է պետական փորձաքննության կողմից.</w:t>
      </w:r>
      <w:r w:rsidRPr="005C082A">
        <w:rPr>
          <w:i/>
          <w:szCs w:val="24"/>
          <w:lang w:val="hy-AM"/>
        </w:rPr>
        <w:t>..</w:t>
      </w:r>
      <w:r w:rsidRPr="005C082A">
        <w:rPr>
          <w:rFonts w:eastAsia="Times New Roman" w:cs="Arial"/>
          <w:i/>
          <w:color w:val="000000"/>
          <w:szCs w:val="24"/>
          <w:lang w:val="hy-AM"/>
        </w:rPr>
        <w:t>»</w:t>
      </w:r>
    </w:p>
    <w:p w14:paraId="202F081C" w14:textId="7DDA9025" w:rsidR="005D44B2" w:rsidRPr="005C082A" w:rsidRDefault="005D44B2" w:rsidP="00CB7FEB">
      <w:pPr>
        <w:ind w:firstLine="567"/>
        <w:rPr>
          <w:rStyle w:val="Strong"/>
          <w:rFonts w:cs="Arial Unicode"/>
          <w:b w:val="0"/>
          <w:color w:val="000000"/>
          <w:szCs w:val="24"/>
          <w:shd w:val="clear" w:color="auto" w:fill="FFFFFF"/>
          <w:lang w:val="hy-AM"/>
        </w:rPr>
      </w:pPr>
      <w:r w:rsidRPr="00650A93">
        <w:rPr>
          <w:rFonts w:eastAsia="Times New Roman" w:cs="Arial"/>
          <w:color w:val="000000"/>
          <w:szCs w:val="24"/>
          <w:lang w:val="hy-AM"/>
        </w:rPr>
        <w:t>Նշվածների հիման վրա, Փոփոխության հրահանգներ 2-ով և 3-ով ԿՄ17+625-ԿՄ18+400 հատվածի (725գծմ երկարությամբ) 4.8 հազար դրամ միավոր պայմանագրային գնով 29942խմ հորատապայթեցման աշխատանքները փոխարինվել են հիդրոմուրճով փխրեցման աշխատանքներով 1խմ-ն 9.28 հազ. դրամով</w:t>
      </w:r>
      <w:r w:rsidR="009E7E12" w:rsidRPr="005C082A">
        <w:rPr>
          <w:rFonts w:eastAsia="Times New Roman" w:cs="Arial"/>
          <w:color w:val="000000"/>
          <w:szCs w:val="24"/>
          <w:lang w:val="hy-AM"/>
        </w:rPr>
        <w:t>,</w:t>
      </w:r>
      <w:r w:rsidRPr="005C082A">
        <w:rPr>
          <w:rFonts w:eastAsia="Times New Roman" w:cs="Arial"/>
          <w:color w:val="000000"/>
          <w:szCs w:val="24"/>
          <w:lang w:val="hy-AM"/>
        </w:rPr>
        <w:t xml:space="preserve"> ինչի արդյունքում պայմանագրային գինը ավելացվել է 134,140.16 հազ. դրամով, այնինչ համա</w:t>
      </w:r>
      <w:r w:rsidRPr="005C082A">
        <w:rPr>
          <w:rStyle w:val="Strong"/>
          <w:rFonts w:cs="Arial Unicode"/>
          <w:b w:val="0"/>
          <w:color w:val="000000"/>
          <w:szCs w:val="24"/>
          <w:shd w:val="clear" w:color="auto" w:fill="FFFFFF"/>
          <w:lang w:val="hy-AM"/>
        </w:rPr>
        <w:t>ձայն նախագծի, երկաթգծի օտարման գոտում է գտնվում ճանապարհահատվածի միայն ԿՄ18+040-ԿՄ18+400 հատվածը՝ 360գծմ երկարությամբ, մնացած</w:t>
      </w:r>
      <w:r w:rsidR="008D4692" w:rsidRPr="00650A93">
        <w:rPr>
          <w:rStyle w:val="Strong"/>
          <w:rFonts w:cs="Arial Unicode"/>
          <w:b w:val="0"/>
          <w:color w:val="000000"/>
          <w:szCs w:val="24"/>
          <w:shd w:val="clear" w:color="auto" w:fill="FFFFFF"/>
          <w:lang w:val="hy-AM"/>
        </w:rPr>
        <w:t xml:space="preserve"> 365գծմ երկարությամբ հատվածը</w:t>
      </w:r>
      <w:r w:rsidRPr="005C082A">
        <w:rPr>
          <w:rStyle w:val="Strong"/>
          <w:rFonts w:cs="Arial Unicode"/>
          <w:b w:val="0"/>
          <w:color w:val="000000"/>
          <w:szCs w:val="24"/>
          <w:shd w:val="clear" w:color="auto" w:fill="FFFFFF"/>
          <w:lang w:val="hy-AM"/>
        </w:rPr>
        <w:t xml:space="preserve"> դուրս է օտարման գոտուց</w:t>
      </w:r>
      <w:r w:rsidRPr="003810E9">
        <w:rPr>
          <w:rStyle w:val="Strong"/>
          <w:rFonts w:cs="Arial Unicode"/>
          <w:b w:val="0"/>
          <w:color w:val="000000"/>
          <w:szCs w:val="24"/>
          <w:shd w:val="clear" w:color="auto" w:fill="FFFFFF"/>
          <w:lang w:val="hy-AM"/>
        </w:rPr>
        <w:t xml:space="preserve">։ Նշված տեղամասում, </w:t>
      </w:r>
      <w:r w:rsidRPr="005C082A">
        <w:rPr>
          <w:rStyle w:val="Strong"/>
          <w:rFonts w:cs="Arial Unicode"/>
          <w:b w:val="0"/>
          <w:color w:val="000000"/>
          <w:szCs w:val="24"/>
          <w:shd w:val="clear" w:color="auto" w:fill="FFFFFF"/>
          <w:lang w:val="hy-AM"/>
        </w:rPr>
        <w:t xml:space="preserve">համաձայն հաշվեքննությանը ներկայացրած հողային աշխատանքների ամփոփագրի, ժայռային բնահողի ծավալը կազմում է 8156 խմ, կամ փոփոխություններով ավել </w:t>
      </w:r>
      <w:r w:rsidR="009E7E12" w:rsidRPr="005C082A">
        <w:rPr>
          <w:rStyle w:val="Strong"/>
          <w:rFonts w:cs="Arial Unicode"/>
          <w:b w:val="0"/>
          <w:color w:val="000000"/>
          <w:szCs w:val="24"/>
          <w:shd w:val="clear" w:color="auto" w:fill="FFFFFF"/>
          <w:lang w:val="hy-AM"/>
        </w:rPr>
        <w:t>է</w:t>
      </w:r>
      <w:r w:rsidRPr="005C082A">
        <w:rPr>
          <w:rStyle w:val="Strong"/>
          <w:rFonts w:cs="Arial Unicode"/>
          <w:b w:val="0"/>
          <w:color w:val="000000"/>
          <w:szCs w:val="24"/>
          <w:shd w:val="clear" w:color="auto" w:fill="FFFFFF"/>
          <w:lang w:val="hy-AM"/>
        </w:rPr>
        <w:t xml:space="preserve"> հաշվարկ</w:t>
      </w:r>
      <w:r w:rsidR="009E7E12" w:rsidRPr="005C082A">
        <w:rPr>
          <w:rStyle w:val="Strong"/>
          <w:rFonts w:cs="Arial Unicode"/>
          <w:b w:val="0"/>
          <w:color w:val="000000"/>
          <w:szCs w:val="24"/>
          <w:shd w:val="clear" w:color="auto" w:fill="FFFFFF"/>
          <w:lang w:val="hy-AM"/>
        </w:rPr>
        <w:t>վ</w:t>
      </w:r>
      <w:r w:rsidRPr="005C082A">
        <w:rPr>
          <w:rStyle w:val="Strong"/>
          <w:rFonts w:cs="Arial Unicode"/>
          <w:b w:val="0"/>
          <w:color w:val="000000"/>
          <w:szCs w:val="24"/>
          <w:shd w:val="clear" w:color="auto" w:fill="FFFFFF"/>
          <w:lang w:val="hy-AM"/>
        </w:rPr>
        <w:t xml:space="preserve">ել </w:t>
      </w:r>
      <w:r w:rsidR="008D4692" w:rsidRPr="00650A93">
        <w:rPr>
          <w:rStyle w:val="Strong"/>
          <w:rFonts w:cs="Arial Unicode"/>
          <w:b w:val="0"/>
          <w:color w:val="000000"/>
          <w:szCs w:val="24"/>
          <w:shd w:val="clear" w:color="auto" w:fill="FFFFFF"/>
          <w:lang w:val="hy-AM"/>
        </w:rPr>
        <w:t xml:space="preserve">և վճարվել </w:t>
      </w:r>
      <w:r w:rsidRPr="005C082A">
        <w:rPr>
          <w:rStyle w:val="Strong"/>
          <w:rFonts w:cs="Arial Unicode"/>
          <w:b w:val="0"/>
          <w:color w:val="000000"/>
          <w:szCs w:val="24"/>
          <w:shd w:val="clear" w:color="auto" w:fill="FFFFFF"/>
          <w:lang w:val="hy-AM"/>
        </w:rPr>
        <w:t xml:space="preserve">21786խմ հիդրոմուրճով փխրեցման աշխատանքներ </w:t>
      </w:r>
      <w:r w:rsidRPr="005C082A">
        <w:rPr>
          <w:rStyle w:val="Strong"/>
          <w:rFonts w:cs="Arial Unicode"/>
          <w:color w:val="000000"/>
          <w:szCs w:val="24"/>
          <w:shd w:val="clear" w:color="auto" w:fill="FFFFFF"/>
          <w:lang w:val="hy-AM"/>
        </w:rPr>
        <w:t xml:space="preserve">գումարով </w:t>
      </w:r>
      <w:r w:rsidRPr="005C082A">
        <w:rPr>
          <w:rStyle w:val="Strong"/>
          <w:rFonts w:cs="Arial Unicode"/>
          <w:i/>
          <w:color w:val="000000"/>
          <w:szCs w:val="24"/>
          <w:u w:val="single"/>
          <w:shd w:val="clear" w:color="auto" w:fill="FFFFFF"/>
          <w:lang w:val="hy-AM"/>
        </w:rPr>
        <w:t>202,174.08 հազ դրամի</w:t>
      </w:r>
      <w:r w:rsidRPr="003810E9">
        <w:rPr>
          <w:rStyle w:val="Strong"/>
          <w:rFonts w:cs="Arial Unicode"/>
          <w:color w:val="000000"/>
          <w:szCs w:val="24"/>
          <w:shd w:val="clear" w:color="auto" w:fill="FFFFFF"/>
          <w:lang w:val="hy-AM"/>
        </w:rPr>
        <w:t xml:space="preserve">։ </w:t>
      </w:r>
      <w:r w:rsidRPr="003810E9">
        <w:rPr>
          <w:rStyle w:val="Strong"/>
          <w:rFonts w:cs="Arial Unicode"/>
          <w:b w:val="0"/>
          <w:color w:val="000000"/>
          <w:szCs w:val="24"/>
          <w:shd w:val="clear" w:color="auto" w:fill="FFFFFF"/>
          <w:lang w:val="hy-AM"/>
        </w:rPr>
        <w:t>(Ընդ որում</w:t>
      </w:r>
      <w:r w:rsidRPr="005C082A">
        <w:rPr>
          <w:rStyle w:val="Strong"/>
          <w:rFonts w:cs="Arial Unicode"/>
          <w:b w:val="0"/>
          <w:color w:val="000000"/>
          <w:szCs w:val="24"/>
          <w:shd w:val="clear" w:color="auto" w:fill="FFFFFF"/>
          <w:lang w:val="hy-AM"/>
        </w:rPr>
        <w:t xml:space="preserve"> Կապալառուն Պատվիրատուին ուղղված </w:t>
      </w:r>
      <w:r w:rsidRPr="005C082A">
        <w:rPr>
          <w:szCs w:val="24"/>
          <w:lang w:val="hy-AM"/>
        </w:rPr>
        <w:t xml:space="preserve">2016թ-ի նոյեմբերի 16-ի N 184 գրությամբ նշել է, որ երկաթգծի օտարման գոտում է գտնվում ճանապարհի </w:t>
      </w:r>
      <w:r w:rsidRPr="005C082A">
        <w:rPr>
          <w:rFonts w:eastAsia="Times New Roman" w:cs="Arial"/>
          <w:color w:val="000000"/>
          <w:szCs w:val="24"/>
          <w:lang w:val="hy-AM"/>
        </w:rPr>
        <w:t>ԿՄ18+000-ԿՄ18+600 հատվածը</w:t>
      </w:r>
      <w:r w:rsidRPr="003810E9">
        <w:rPr>
          <w:rFonts w:eastAsia="Times New Roman" w:cs="Arial"/>
          <w:color w:val="000000"/>
          <w:szCs w:val="24"/>
          <w:lang w:val="hy-AM"/>
        </w:rPr>
        <w:t>)։</w:t>
      </w:r>
    </w:p>
    <w:p w14:paraId="4756EB8B" w14:textId="77777777" w:rsidR="005D44B2" w:rsidRPr="005C082A" w:rsidRDefault="005D44B2" w:rsidP="00CB7FEB">
      <w:pPr>
        <w:ind w:firstLine="567"/>
        <w:rPr>
          <w:rFonts w:eastAsia="Times New Roman" w:cs="Arial"/>
          <w:color w:val="000000"/>
          <w:szCs w:val="24"/>
          <w:lang w:val="hy-AM"/>
        </w:rPr>
      </w:pPr>
      <w:r w:rsidRPr="005C082A">
        <w:rPr>
          <w:rFonts w:eastAsia="Times New Roman" w:cs="Arial"/>
          <w:color w:val="000000"/>
          <w:szCs w:val="24"/>
          <w:lang w:val="hy-AM"/>
        </w:rPr>
        <w:t>Բացի այդ, չնայած նրան, որ</w:t>
      </w:r>
    </w:p>
    <w:p w14:paraId="6C971760" w14:textId="24EEEBC0" w:rsidR="005D44B2" w:rsidRPr="005C082A" w:rsidRDefault="005D44B2" w:rsidP="00CB7FEB">
      <w:pPr>
        <w:ind w:firstLine="567"/>
        <w:rPr>
          <w:rFonts w:cs="Arial"/>
          <w:color w:val="000000"/>
          <w:szCs w:val="24"/>
          <w:lang w:val="hy-AM"/>
        </w:rPr>
      </w:pPr>
      <w:r w:rsidRPr="005C082A">
        <w:rPr>
          <w:rFonts w:cs="Arial"/>
          <w:color w:val="000000"/>
          <w:szCs w:val="24"/>
          <w:lang w:val="hy-AM"/>
        </w:rPr>
        <w:t xml:space="preserve">- պատվիրատուն խնդրել էր, իսկ խորհրդատուն պարտավոր էր տալ մասնագիտական եզրակացություն և առարկություն չունենալու դեպքում ներկայացնել ամփոփագրեր և վերահաշվարկ, խորհրդատուն որևէ մասնագիտական եզրակացություն, ամփոփագիր և վերահաշվարկ չի ներկայացրել, փոխարենը ներկայացրել է  պատվիրատուի կողմից չպահանջված միավորային գին, ընդ որում այն անվանելով պետական փորձաքննության կողմից հաստատված գին 1խմ-ն 10.48 հազ. դրամ, այն դեպքում որ նախահաշվային միավոր գին հաստատող </w:t>
      </w:r>
      <w:r w:rsidRPr="005C082A">
        <w:rPr>
          <w:rFonts w:eastAsia="Times New Roman" w:cs="Arial"/>
          <w:i/>
          <w:color w:val="000000"/>
          <w:szCs w:val="24"/>
          <w:lang w:val="hy-AM"/>
        </w:rPr>
        <w:t>«…</w:t>
      </w:r>
      <w:r w:rsidRPr="005C082A">
        <w:rPr>
          <w:rFonts w:cs="Arial"/>
          <w:i/>
          <w:color w:val="000000"/>
          <w:szCs w:val="24"/>
          <w:lang w:val="hy-AM"/>
        </w:rPr>
        <w:t>պետական փորձաքննություն</w:t>
      </w:r>
      <w:r w:rsidRPr="005C082A">
        <w:rPr>
          <w:rFonts w:cs="Arial"/>
          <w:color w:val="000000"/>
          <w:szCs w:val="24"/>
          <w:lang w:val="hy-AM"/>
        </w:rPr>
        <w:t>…</w:t>
      </w:r>
      <w:r w:rsidRPr="005C082A">
        <w:rPr>
          <w:rFonts w:eastAsia="Times New Roman" w:cs="Arial"/>
          <w:i/>
          <w:color w:val="000000"/>
          <w:szCs w:val="24"/>
          <w:lang w:val="hy-AM"/>
        </w:rPr>
        <w:t>»</w:t>
      </w:r>
      <w:r w:rsidRPr="005C082A">
        <w:rPr>
          <w:rFonts w:cs="Arial"/>
          <w:color w:val="000000"/>
          <w:szCs w:val="24"/>
          <w:lang w:val="hy-AM"/>
        </w:rPr>
        <w:t xml:space="preserve"> մարմին ՀՀ-ում գոյություն չունի։ Պետական փորձաքննություն իրականացնող անձանց ՀՀ օրենսդրությամբ </w:t>
      </w:r>
      <w:r w:rsidR="009E7E12" w:rsidRPr="005C082A">
        <w:rPr>
          <w:rFonts w:cs="Arial"/>
          <w:color w:val="000000"/>
          <w:szCs w:val="24"/>
          <w:lang w:val="hy-AM"/>
        </w:rPr>
        <w:t xml:space="preserve">միավոր գներ հաստատելու </w:t>
      </w:r>
      <w:r w:rsidRPr="005C082A">
        <w:rPr>
          <w:rFonts w:cs="Arial"/>
          <w:color w:val="000000"/>
          <w:szCs w:val="24"/>
          <w:lang w:val="hy-AM"/>
        </w:rPr>
        <w:t xml:space="preserve">որևէ լիազորություն վերապահված չէ և ներկայացված գինը չէր կարող հաստատված լիներ պետական փորձաքննության կողմից։ </w:t>
      </w:r>
    </w:p>
    <w:p w14:paraId="7B689C95" w14:textId="3D95B745" w:rsidR="005D44B2" w:rsidRPr="005C082A" w:rsidRDefault="005D44B2" w:rsidP="00CB7FEB">
      <w:pPr>
        <w:ind w:firstLine="567"/>
        <w:rPr>
          <w:rFonts w:cs="Arial"/>
          <w:color w:val="000000"/>
          <w:szCs w:val="24"/>
          <w:lang w:val="hy-AM"/>
        </w:rPr>
      </w:pPr>
      <w:r w:rsidRPr="005C082A">
        <w:rPr>
          <w:rFonts w:cs="Arial"/>
          <w:color w:val="000000"/>
          <w:szCs w:val="24"/>
          <w:lang w:val="hy-AM"/>
        </w:rPr>
        <w:lastRenderedPageBreak/>
        <w:t xml:space="preserve">- Կապալառուն առանց սահմանված կարգով հաստատված փոփոխությունների՝ նախագծով նախատեսված հորատապայթեցման աշխատանքների փոխարեն </w:t>
      </w:r>
      <w:r w:rsidR="009E7E12" w:rsidRPr="005C082A">
        <w:rPr>
          <w:rFonts w:cs="Arial"/>
          <w:color w:val="000000"/>
          <w:szCs w:val="24"/>
          <w:lang w:val="hy-AM"/>
        </w:rPr>
        <w:t xml:space="preserve">իրականացրել է </w:t>
      </w:r>
      <w:r w:rsidRPr="005C082A">
        <w:rPr>
          <w:rFonts w:cs="Arial"/>
          <w:color w:val="000000"/>
          <w:szCs w:val="24"/>
          <w:lang w:val="hy-AM"/>
        </w:rPr>
        <w:t>հիդրոմուրճով փխրեցման աշխատանքներ։</w:t>
      </w:r>
    </w:p>
    <w:p w14:paraId="774BF0BE" w14:textId="77777777" w:rsidR="005D44B2" w:rsidRPr="005C082A" w:rsidRDefault="005D44B2" w:rsidP="00CB7FEB">
      <w:pPr>
        <w:ind w:firstLine="567"/>
        <w:rPr>
          <w:rFonts w:cs="Arial"/>
          <w:color w:val="000000"/>
          <w:szCs w:val="24"/>
          <w:lang w:val="hy-AM"/>
        </w:rPr>
      </w:pPr>
      <w:r w:rsidRPr="005C082A">
        <w:rPr>
          <w:rFonts w:cs="Arial"/>
          <w:color w:val="000000"/>
          <w:szCs w:val="24"/>
          <w:lang w:val="hy-AM"/>
        </w:rPr>
        <w:t xml:space="preserve">- Պատվիրատուն պահանջել էր առաջարկել այլընտրանքային տարբերակներ </w:t>
      </w:r>
      <w:r w:rsidRPr="005C082A">
        <w:rPr>
          <w:rFonts w:cs="Arial"/>
          <w:b/>
          <w:i/>
          <w:color w:val="000000"/>
          <w:szCs w:val="24"/>
          <w:u w:val="single"/>
          <w:lang w:val="hy-AM"/>
        </w:rPr>
        <w:t>պայմանագրի միավոր գների սահմաններում,</w:t>
      </w:r>
      <w:r w:rsidRPr="005C082A">
        <w:rPr>
          <w:rFonts w:cs="Arial"/>
          <w:color w:val="000000"/>
          <w:szCs w:val="24"/>
          <w:lang w:val="hy-AM"/>
        </w:rPr>
        <w:t xml:space="preserve"> այնինչ այդ գինը ավելացվել է շուրջ երկու անգամ։</w:t>
      </w:r>
    </w:p>
    <w:p w14:paraId="3C3DEED9" w14:textId="51497F19" w:rsidR="001035B2" w:rsidRDefault="005D44B2" w:rsidP="00CB7FEB">
      <w:pPr>
        <w:ind w:firstLine="567"/>
        <w:rPr>
          <w:rFonts w:cs="Arial"/>
          <w:color w:val="000000"/>
          <w:szCs w:val="24"/>
          <w:lang w:val="hy-AM"/>
        </w:rPr>
      </w:pPr>
      <w:r w:rsidRPr="005C082A">
        <w:rPr>
          <w:rFonts w:cs="Arial"/>
          <w:color w:val="000000"/>
          <w:szCs w:val="24"/>
          <w:lang w:val="hy-AM"/>
        </w:rPr>
        <w:t>- Կապալառուի առաջարկած պայմանագրային գինը կազմել է նախահաշվային արժեքի 78%-ը, սակայն փոփոխությամբ միավոր գինը սահման</w:t>
      </w:r>
      <w:r w:rsidR="008D4692" w:rsidRPr="00650A93">
        <w:rPr>
          <w:rFonts w:cs="Arial"/>
          <w:color w:val="000000"/>
          <w:szCs w:val="24"/>
          <w:lang w:val="hy-AM"/>
        </w:rPr>
        <w:t>վ</w:t>
      </w:r>
      <w:r w:rsidRPr="005C082A">
        <w:rPr>
          <w:rFonts w:cs="Arial"/>
          <w:color w:val="000000"/>
          <w:szCs w:val="24"/>
          <w:lang w:val="hy-AM"/>
        </w:rPr>
        <w:t xml:space="preserve">ել </w:t>
      </w:r>
      <w:r w:rsidR="008D4692" w:rsidRPr="00650A93">
        <w:rPr>
          <w:rFonts w:cs="Arial"/>
          <w:color w:val="000000"/>
          <w:szCs w:val="24"/>
          <w:lang w:val="hy-AM"/>
        </w:rPr>
        <w:t>է</w:t>
      </w:r>
      <w:r w:rsidR="008D4692" w:rsidRPr="005C082A">
        <w:rPr>
          <w:rFonts w:cs="Arial"/>
          <w:color w:val="000000"/>
          <w:szCs w:val="24"/>
          <w:lang w:val="hy-AM"/>
        </w:rPr>
        <w:t xml:space="preserve"> </w:t>
      </w:r>
      <w:r w:rsidRPr="003810E9">
        <w:rPr>
          <w:rFonts w:cs="Arial"/>
          <w:color w:val="000000"/>
          <w:szCs w:val="24"/>
          <w:lang w:val="hy-AM"/>
        </w:rPr>
        <w:t>նախագծողի</w:t>
      </w:r>
      <w:r w:rsidRPr="005C082A">
        <w:rPr>
          <w:rFonts w:cs="Arial"/>
          <w:color w:val="000000"/>
          <w:szCs w:val="24"/>
          <w:lang w:val="hy-AM"/>
        </w:rPr>
        <w:t xml:space="preserve"> առաջարկած գնի 88,5%-ը։</w:t>
      </w:r>
    </w:p>
    <w:p w14:paraId="73DC0AA4" w14:textId="0182388F" w:rsidR="001035B2" w:rsidRPr="00605A07" w:rsidRDefault="001035B2" w:rsidP="00FF16B1">
      <w:pPr>
        <w:spacing w:before="240" w:after="0"/>
        <w:ind w:firstLine="567"/>
        <w:rPr>
          <w:b/>
          <w:sz w:val="20"/>
          <w:szCs w:val="20"/>
          <w:lang w:val="hy-AM"/>
        </w:rPr>
      </w:pPr>
      <w:r w:rsidRPr="00605A07">
        <w:rPr>
          <w:b/>
          <w:sz w:val="20"/>
          <w:szCs w:val="20"/>
          <w:lang w:val="hy-AM"/>
        </w:rPr>
        <w:t xml:space="preserve"> Հաշվեքննության օբյեկտի առարկությունները և բացատրությունները։</w:t>
      </w:r>
    </w:p>
    <w:p w14:paraId="13D49A60" w14:textId="6EB95664" w:rsidR="00715862" w:rsidRPr="00605A07" w:rsidRDefault="003F6339">
      <w:pPr>
        <w:rPr>
          <w:sz w:val="20"/>
          <w:szCs w:val="20"/>
          <w:lang w:val="hy-AM"/>
        </w:rPr>
      </w:pPr>
      <w:r w:rsidRPr="00605A07">
        <w:rPr>
          <w:sz w:val="20"/>
          <w:szCs w:val="20"/>
          <w:lang w:val="hy-AM"/>
        </w:rPr>
        <w:t xml:space="preserve"> </w:t>
      </w:r>
      <w:r w:rsidR="00715862" w:rsidRPr="00605A07">
        <w:rPr>
          <w:sz w:val="20"/>
          <w:szCs w:val="20"/>
          <w:lang w:val="hy-AM"/>
        </w:rPr>
        <w:t>«Երկաթուղային տրանսպորտի մասին»  ՀՀ օրենքի հիշատակված դրույթները կարգավորում են երկաթուղային գծերի տեղակայմանը վերաբերվող հարցերը։ Իսկ խնդրո առարկա հանդիսացող փոփոխություններով պայմանավորված աշխատանքների իրականացման հետ կապված հարցերն անհրաժեշտ է դիտարկել նույն օրենքի 15</w:t>
      </w:r>
      <w:r w:rsidR="00715862" w:rsidRPr="00605A07">
        <w:rPr>
          <w:rFonts w:ascii="Cambria Math" w:hAnsi="Cambria Math" w:cs="Cambria Math"/>
          <w:sz w:val="20"/>
          <w:szCs w:val="20"/>
          <w:lang w:val="hy-AM"/>
        </w:rPr>
        <w:t>․</w:t>
      </w:r>
      <w:r w:rsidR="00715862" w:rsidRPr="00605A07">
        <w:rPr>
          <w:sz w:val="20"/>
          <w:szCs w:val="20"/>
          <w:lang w:val="hy-AM"/>
        </w:rPr>
        <w:t>1 հոդվածի 9-րդ մասի և 15</w:t>
      </w:r>
      <w:r w:rsidR="00715862" w:rsidRPr="00605A07">
        <w:rPr>
          <w:rFonts w:ascii="Cambria Math" w:hAnsi="Cambria Math" w:cs="Cambria Math"/>
          <w:sz w:val="20"/>
          <w:szCs w:val="20"/>
          <w:lang w:val="hy-AM"/>
        </w:rPr>
        <w:t>․</w:t>
      </w:r>
      <w:r w:rsidR="00715862" w:rsidRPr="00605A07">
        <w:rPr>
          <w:sz w:val="20"/>
          <w:szCs w:val="20"/>
          <w:lang w:val="hy-AM"/>
        </w:rPr>
        <w:t>3 հոդվածի 1-ին մասի 3-րդ կետի կարգավորումների համատեքստում։ Մասնավորապես՝</w:t>
      </w:r>
    </w:p>
    <w:p w14:paraId="5E331ADB" w14:textId="77777777" w:rsidR="00715862" w:rsidRPr="00605A07" w:rsidRDefault="00715862" w:rsidP="00FF16B1">
      <w:pPr>
        <w:pStyle w:val="ListParagraph"/>
        <w:numPr>
          <w:ilvl w:val="0"/>
          <w:numId w:val="37"/>
        </w:numPr>
        <w:spacing w:line="276" w:lineRule="auto"/>
        <w:ind w:left="159" w:hanging="142"/>
        <w:jc w:val="both"/>
        <w:rPr>
          <w:rFonts w:ascii="GHEA Grapalat" w:hAnsi="GHEA Grapalat"/>
          <w:sz w:val="20"/>
          <w:szCs w:val="20"/>
          <w:lang w:val="hy-AM"/>
        </w:rPr>
      </w:pPr>
      <w:r w:rsidRPr="00605A07">
        <w:rPr>
          <w:rFonts w:ascii="GHEA Grapalat" w:hAnsi="GHEA Grapalat"/>
          <w:sz w:val="20"/>
          <w:szCs w:val="20"/>
          <w:lang w:val="hy-AM"/>
        </w:rPr>
        <w:t>15</w:t>
      </w:r>
      <w:r w:rsidRPr="00605A07">
        <w:rPr>
          <w:rFonts w:ascii="Cambria Math" w:hAnsi="Cambria Math" w:cs="Cambria Math"/>
          <w:sz w:val="20"/>
          <w:szCs w:val="20"/>
          <w:lang w:val="hy-AM"/>
        </w:rPr>
        <w:t>․</w:t>
      </w:r>
      <w:r w:rsidRPr="00605A07">
        <w:rPr>
          <w:rFonts w:ascii="GHEA Grapalat" w:hAnsi="GHEA Grapalat"/>
          <w:sz w:val="20"/>
          <w:szCs w:val="20"/>
          <w:lang w:val="hy-AM"/>
        </w:rPr>
        <w:t>1 հոդվածի 9-րդ մասի համաձայն, Երկաթուղային գծի յուրաքանչյուր կողմում երկաթուղու պաշտպանական գոտու արտաքին սահմանագծի հեռավորությունը երկաթուղային գծի առանցքից սահմանվում է 50 մետրից ոչ պակաս,</w:t>
      </w:r>
    </w:p>
    <w:p w14:paraId="699A366C" w14:textId="77777777" w:rsidR="00715862" w:rsidRPr="00605A07" w:rsidRDefault="00715862" w:rsidP="00FF16B1">
      <w:pPr>
        <w:pStyle w:val="ListParagraph"/>
        <w:numPr>
          <w:ilvl w:val="0"/>
          <w:numId w:val="37"/>
        </w:numPr>
        <w:spacing w:line="276" w:lineRule="auto"/>
        <w:ind w:left="159" w:hanging="142"/>
        <w:jc w:val="both"/>
        <w:rPr>
          <w:rFonts w:ascii="GHEA Grapalat" w:hAnsi="GHEA Grapalat"/>
          <w:sz w:val="20"/>
          <w:szCs w:val="20"/>
          <w:lang w:val="hy-AM"/>
        </w:rPr>
      </w:pPr>
      <w:r w:rsidRPr="00605A07">
        <w:rPr>
          <w:rFonts w:ascii="GHEA Grapalat" w:hAnsi="GHEA Grapalat"/>
          <w:sz w:val="20"/>
          <w:szCs w:val="20"/>
          <w:lang w:val="hy-AM"/>
        </w:rPr>
        <w:t xml:space="preserve"> 15</w:t>
      </w:r>
      <w:r w:rsidRPr="00605A07">
        <w:rPr>
          <w:rFonts w:ascii="Cambria Math" w:hAnsi="Cambria Math" w:cs="Cambria Math"/>
          <w:sz w:val="20"/>
          <w:szCs w:val="20"/>
          <w:lang w:val="hy-AM"/>
        </w:rPr>
        <w:t>․</w:t>
      </w:r>
      <w:r w:rsidRPr="00605A07">
        <w:rPr>
          <w:rFonts w:ascii="GHEA Grapalat" w:hAnsi="GHEA Grapalat"/>
          <w:sz w:val="20"/>
          <w:szCs w:val="20"/>
          <w:lang w:val="hy-AM"/>
        </w:rPr>
        <w:t>3 հոդվածի 1-ին մասի 3-րդ կետի համաձայն, երկաթուղային տրանսպորտի երթևեկության և շահագործման անվտանգության ապահովման նպատակով երկաթուղու պաշտպանական գոտիների սահմաններում արգելվում է այնպիսի աշխատանքների կատարումը,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 (սողանքներ, լանջերի փլվածքներ, ձորակներ, լճակներ կամ հողերի ճահճացում)։</w:t>
      </w:r>
    </w:p>
    <w:p w14:paraId="5C26B888" w14:textId="77777777" w:rsidR="00715862" w:rsidRPr="00605A07" w:rsidRDefault="00715862">
      <w:pPr>
        <w:ind w:left="17"/>
        <w:rPr>
          <w:sz w:val="20"/>
          <w:szCs w:val="20"/>
          <w:lang w:val="hy-AM"/>
        </w:rPr>
      </w:pPr>
      <w:r w:rsidRPr="00605A07">
        <w:rPr>
          <w:sz w:val="20"/>
          <w:szCs w:val="20"/>
          <w:lang w:val="hy-AM"/>
        </w:rPr>
        <w:t>Ճանապարհի կմ17+625 – կմ18+400 հատվածին հարակից երկաթուղային գծի առանցքի և ճանապարհի հողային պաստառի միջև հեռավորությունը փաստացի կազմել է մինչև 50մ, ինչը ենթադրում է, որ Ճանապարհի հողային պաստառում հողային աշխատանքներն իրականացվել են երկաթուղու պաշտպանական գոտու սահմաններում։</w:t>
      </w:r>
    </w:p>
    <w:p w14:paraId="54821771" w14:textId="77777777" w:rsidR="00715862" w:rsidRPr="00605A07" w:rsidRDefault="00715862">
      <w:pPr>
        <w:rPr>
          <w:sz w:val="20"/>
          <w:szCs w:val="20"/>
          <w:lang w:val="hy-AM"/>
        </w:rPr>
      </w:pPr>
      <w:r w:rsidRPr="00605A07">
        <w:rPr>
          <w:sz w:val="20"/>
          <w:szCs w:val="20"/>
          <w:lang w:val="hy-AM"/>
        </w:rPr>
        <w:t>Հիմք ընդունելով վերը նշվածը՝ անընդունելի է պնդումն այն մասին, որ «երկաթգծի օտարման գոտում է գտնվում ճանապարհահատվածի միայն ԿՄ18+040-ԿՄ18+400 հատվածը՝ 360գծմ երկարությամբ, մնացածը դուրս է օտարման գոտուց» և հետևաբար նաև՝ «փոփոխություններով ավել են հաշվարկել 21786խմ հիդրոմուրճով փխրեցման աշխատանքներ գումարով 202,174.08 հազ դրամի (21786*9,28)» պնդումը։</w:t>
      </w:r>
    </w:p>
    <w:p w14:paraId="7BC08543" w14:textId="1DCA2252" w:rsidR="00715862" w:rsidRPr="00605A07" w:rsidRDefault="00715862" w:rsidP="00FF16B1">
      <w:pPr>
        <w:spacing w:before="240" w:after="0"/>
        <w:ind w:firstLine="567"/>
        <w:rPr>
          <w:b/>
          <w:sz w:val="20"/>
          <w:szCs w:val="20"/>
          <w:lang w:val="hy-AM"/>
        </w:rPr>
      </w:pPr>
      <w:r w:rsidRPr="00605A07">
        <w:rPr>
          <w:sz w:val="20"/>
          <w:szCs w:val="20"/>
          <w:lang w:val="hy-AM"/>
        </w:rPr>
        <w:t xml:space="preserve">Հնարավոր է, որ խորհրդատուների՝ հարցին առընչվող որոշ եզրակացություններ տարընթերցման տեղիք են տվել, սակայն առարկություններ նույնպես չեն եղել։ Փոփոխություններն </w:t>
      </w:r>
      <w:r w:rsidRPr="00605A07">
        <w:rPr>
          <w:sz w:val="20"/>
          <w:szCs w:val="20"/>
          <w:lang w:val="hy-AM"/>
        </w:rPr>
        <w:lastRenderedPageBreak/>
        <w:t>իրականացնելու հիմք են հանդիսացել նաև տեխ</w:t>
      </w:r>
      <w:r w:rsidRPr="00605A07">
        <w:rPr>
          <w:rFonts w:ascii="Cambria Math" w:hAnsi="Cambria Math" w:cs="Cambria Math"/>
          <w:sz w:val="20"/>
          <w:szCs w:val="20"/>
          <w:lang w:val="hy-AM"/>
        </w:rPr>
        <w:t>․</w:t>
      </w:r>
      <w:r w:rsidRPr="00605A07">
        <w:rPr>
          <w:sz w:val="20"/>
          <w:szCs w:val="20"/>
          <w:lang w:val="hy-AM"/>
        </w:rPr>
        <w:t>հսկողության 29</w:t>
      </w:r>
      <w:r w:rsidRPr="00605A07">
        <w:rPr>
          <w:rFonts w:ascii="Cambria Math" w:hAnsi="Cambria Math" w:cs="Cambria Math"/>
          <w:sz w:val="20"/>
          <w:szCs w:val="20"/>
          <w:lang w:val="hy-AM"/>
        </w:rPr>
        <w:t>․</w:t>
      </w:r>
      <w:r w:rsidRPr="00605A07">
        <w:rPr>
          <w:sz w:val="20"/>
          <w:szCs w:val="20"/>
          <w:lang w:val="hy-AM"/>
        </w:rPr>
        <w:t>05</w:t>
      </w:r>
      <w:r w:rsidRPr="00605A07">
        <w:rPr>
          <w:rFonts w:ascii="Cambria Math" w:hAnsi="Cambria Math" w:cs="Cambria Math"/>
          <w:sz w:val="20"/>
          <w:szCs w:val="20"/>
          <w:lang w:val="hy-AM"/>
        </w:rPr>
        <w:t>․</w:t>
      </w:r>
      <w:r w:rsidRPr="00605A07">
        <w:rPr>
          <w:sz w:val="20"/>
          <w:szCs w:val="20"/>
          <w:lang w:val="hy-AM"/>
        </w:rPr>
        <w:t>2017թ</w:t>
      </w:r>
      <w:r w:rsidRPr="00605A07">
        <w:rPr>
          <w:rFonts w:ascii="Cambria Math" w:hAnsi="Cambria Math" w:cs="Cambria Math"/>
          <w:sz w:val="20"/>
          <w:szCs w:val="20"/>
          <w:lang w:val="hy-AM"/>
        </w:rPr>
        <w:t>․</w:t>
      </w:r>
      <w:r w:rsidRPr="00605A07">
        <w:rPr>
          <w:sz w:val="20"/>
          <w:szCs w:val="20"/>
          <w:lang w:val="hy-AM"/>
        </w:rPr>
        <w:t xml:space="preserve"> թիվ GP-M6/040 եզրակացությունն այն մասին, որ փոփոխությունն անհրաժեշտ է եղել երկաթգծի անվտանգ շահագործումն ապահովելու համար։</w:t>
      </w:r>
    </w:p>
    <w:p w14:paraId="5B912E83" w14:textId="73A68ADD"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375FA987" w14:textId="4E4F2943" w:rsidR="005D44B2" w:rsidRPr="00FF16B1" w:rsidRDefault="00C50A60" w:rsidP="00FF16B1">
      <w:pPr>
        <w:spacing w:before="240" w:after="0"/>
        <w:ind w:firstLine="567"/>
        <w:rPr>
          <w:color w:val="000000"/>
          <w:sz w:val="20"/>
          <w:szCs w:val="20"/>
          <w:shd w:val="clear" w:color="auto" w:fill="FFFFFF"/>
          <w:lang w:val="hy-AM"/>
        </w:rPr>
      </w:pPr>
      <w:r w:rsidRPr="00FF16B1">
        <w:rPr>
          <w:sz w:val="20"/>
          <w:szCs w:val="20"/>
          <w:lang w:val="hy-AM"/>
        </w:rPr>
        <w:t>Համաձայն «Երկաթուղային տրանսպորտի մասին»  ՀՀ օրենքի 14-րդ հոդվածի 3-րդ մասի ե</w:t>
      </w:r>
      <w:r w:rsidRPr="00FF16B1">
        <w:rPr>
          <w:color w:val="000000"/>
          <w:sz w:val="20"/>
          <w:szCs w:val="20"/>
          <w:shd w:val="clear" w:color="auto" w:fill="FFFFFF"/>
          <w:lang w:val="hy-AM"/>
        </w:rPr>
        <w:t xml:space="preserve">րկաթուղային գծերի և երկաթուղային այլ օբյեկտների անվտանգ շահագործման, ինչպես նաև բնակչության, երկաթուղային տրանսպորտի աշխատողների և ուղևորների անվտանգության ապահովման նպատակով </w:t>
      </w:r>
      <w:r w:rsidRPr="00FF16B1">
        <w:rPr>
          <w:b/>
          <w:i/>
          <w:sz w:val="20"/>
          <w:szCs w:val="20"/>
          <w:u w:val="single"/>
          <w:lang w:val="hy-AM"/>
        </w:rPr>
        <w:t xml:space="preserve">պաշտպանական գոտիներ սահմանվում են </w:t>
      </w:r>
      <w:r w:rsidRPr="00FF16B1">
        <w:rPr>
          <w:b/>
          <w:i/>
          <w:color w:val="000000"/>
          <w:sz w:val="20"/>
          <w:szCs w:val="20"/>
          <w:u w:val="single"/>
          <w:shd w:val="clear" w:color="auto" w:fill="FFFFFF"/>
          <w:lang w:val="hy-AM"/>
        </w:rPr>
        <w:t>սողանքների, փլուզումների, ողողումների և այլ բացասական ազդեցությունների ենթակա տեղերում</w:t>
      </w:r>
      <w:r w:rsidRPr="00FF16B1">
        <w:rPr>
          <w:color w:val="000000"/>
          <w:sz w:val="20"/>
          <w:szCs w:val="20"/>
          <w:shd w:val="clear" w:color="auto" w:fill="FFFFFF"/>
          <w:lang w:val="hy-AM"/>
        </w:rPr>
        <w:t>, որոնցում գործում է հողերի օգտագործման և դրա նկատմամբ սահմանափակումների կիրառման հատուկ ռեժիմ:</w:t>
      </w:r>
    </w:p>
    <w:p w14:paraId="5C239A75" w14:textId="4A385369" w:rsidR="00C50A60" w:rsidRPr="00FF16B1" w:rsidRDefault="00C50A60" w:rsidP="00FF16B1">
      <w:pPr>
        <w:spacing w:before="240" w:after="0"/>
        <w:ind w:firstLine="567"/>
        <w:rPr>
          <w:rFonts w:cs="Arial"/>
          <w:color w:val="000000"/>
          <w:sz w:val="20"/>
          <w:szCs w:val="20"/>
          <w:lang w:val="hy-AM"/>
        </w:rPr>
      </w:pPr>
      <w:r w:rsidRPr="00FF16B1">
        <w:rPr>
          <w:sz w:val="20"/>
          <w:szCs w:val="20"/>
          <w:lang w:val="hy-AM"/>
        </w:rPr>
        <w:t xml:space="preserve">Թե նախագծում և թե առարկություններին կից չի ներկայացվել որևէ հիմք, որ </w:t>
      </w:r>
      <w:r w:rsidRPr="00605A07">
        <w:rPr>
          <w:sz w:val="20"/>
          <w:szCs w:val="20"/>
          <w:lang w:val="hy-AM"/>
        </w:rPr>
        <w:t xml:space="preserve">կմ17+625 – կմ18+400 հատվածը գտնվել է </w:t>
      </w:r>
      <w:r w:rsidRPr="00FF16B1">
        <w:rPr>
          <w:color w:val="000000"/>
          <w:sz w:val="20"/>
          <w:szCs w:val="20"/>
          <w:shd w:val="clear" w:color="auto" w:fill="FFFFFF"/>
          <w:lang w:val="hy-AM"/>
        </w:rPr>
        <w:t>սողանքների, փլուզումների, ողողումների և այլ բացասական ազդեցությունների ենթակա տեղերում և հետևաբար</w:t>
      </w:r>
      <w:r w:rsidR="00B841CE" w:rsidRPr="00FF16B1">
        <w:rPr>
          <w:color w:val="000000"/>
          <w:sz w:val="20"/>
          <w:szCs w:val="20"/>
          <w:shd w:val="clear" w:color="auto" w:fill="FFFFFF"/>
          <w:lang w:val="hy-AM"/>
        </w:rPr>
        <w:t xml:space="preserve"> համաձայն օրենքի  14-րդ հոդվածի 3-րդ մասին </w:t>
      </w:r>
      <w:r w:rsidRPr="00FF16B1">
        <w:rPr>
          <w:color w:val="000000"/>
          <w:sz w:val="20"/>
          <w:szCs w:val="20"/>
          <w:shd w:val="clear" w:color="auto" w:fill="FFFFFF"/>
          <w:lang w:val="hy-AM"/>
        </w:rPr>
        <w:t>այդ հատվածում սահմանված են պաշպանական  գոտիներ։ Բացի այդ,</w:t>
      </w:r>
      <w:r w:rsidR="00B841CE" w:rsidRPr="00FF16B1">
        <w:rPr>
          <w:color w:val="000000"/>
          <w:sz w:val="20"/>
          <w:szCs w:val="20"/>
          <w:shd w:val="clear" w:color="auto" w:fill="FFFFFF"/>
          <w:lang w:val="hy-AM"/>
        </w:rPr>
        <w:t xml:space="preserve"> ինչպես նշված է առարկություններում, Համաձայն օրենքի </w:t>
      </w:r>
      <w:r w:rsidR="00B841CE" w:rsidRPr="00FF16B1">
        <w:rPr>
          <w:sz w:val="20"/>
          <w:szCs w:val="20"/>
          <w:lang w:val="hy-AM"/>
        </w:rPr>
        <w:t>15</w:t>
      </w:r>
      <w:r w:rsidR="00B841CE" w:rsidRPr="00FF16B1">
        <w:rPr>
          <w:rFonts w:ascii="Cambria Math" w:hAnsi="Cambria Math" w:cs="Cambria Math"/>
          <w:sz w:val="20"/>
          <w:szCs w:val="20"/>
          <w:lang w:val="hy-AM"/>
        </w:rPr>
        <w:t>․</w:t>
      </w:r>
      <w:r w:rsidR="00B841CE" w:rsidRPr="00FF16B1">
        <w:rPr>
          <w:sz w:val="20"/>
          <w:szCs w:val="20"/>
          <w:lang w:val="hy-AM"/>
        </w:rPr>
        <w:t>3 հոդվածի 1-ին մասի 3-րդ կետի</w:t>
      </w:r>
      <w:r w:rsidRPr="00FF16B1">
        <w:rPr>
          <w:color w:val="000000"/>
          <w:sz w:val="20"/>
          <w:szCs w:val="20"/>
          <w:shd w:val="clear" w:color="auto" w:fill="FFFFFF"/>
          <w:lang w:val="hy-AM"/>
        </w:rPr>
        <w:t xml:space="preserve"> պաշտպանական գոտում, եթե այդպիսի</w:t>
      </w:r>
      <w:r w:rsidR="00B841CE" w:rsidRPr="00FF16B1">
        <w:rPr>
          <w:color w:val="000000"/>
          <w:sz w:val="20"/>
          <w:szCs w:val="20"/>
          <w:shd w:val="clear" w:color="auto" w:fill="FFFFFF"/>
          <w:lang w:val="hy-AM"/>
        </w:rPr>
        <w:t xml:space="preserve"> գոտի </w:t>
      </w:r>
      <w:r w:rsidRPr="00FF16B1">
        <w:rPr>
          <w:color w:val="000000"/>
          <w:sz w:val="20"/>
          <w:szCs w:val="20"/>
          <w:shd w:val="clear" w:color="auto" w:fill="FFFFFF"/>
          <w:lang w:val="hy-AM"/>
        </w:rPr>
        <w:t xml:space="preserve">օրենքի </w:t>
      </w:r>
      <w:r w:rsidR="00B841CE" w:rsidRPr="00FF16B1">
        <w:rPr>
          <w:color w:val="000000"/>
          <w:sz w:val="20"/>
          <w:szCs w:val="20"/>
          <w:shd w:val="clear" w:color="auto" w:fill="FFFFFF"/>
          <w:lang w:val="hy-AM"/>
        </w:rPr>
        <w:t xml:space="preserve">14-րդ հոդվածի 3-րդ մասին համապատասխան </w:t>
      </w:r>
      <w:r w:rsidRPr="00FF16B1">
        <w:rPr>
          <w:color w:val="000000"/>
          <w:sz w:val="20"/>
          <w:szCs w:val="20"/>
          <w:shd w:val="clear" w:color="auto" w:fill="FFFFFF"/>
          <w:lang w:val="hy-AM"/>
        </w:rPr>
        <w:t>սահմանված լիներ</w:t>
      </w:r>
      <w:r w:rsidR="00B841CE" w:rsidRPr="00FF16B1">
        <w:rPr>
          <w:color w:val="000000"/>
          <w:sz w:val="20"/>
          <w:szCs w:val="20"/>
          <w:shd w:val="clear" w:color="auto" w:fill="FFFFFF"/>
          <w:lang w:val="hy-AM"/>
        </w:rPr>
        <w:t>,</w:t>
      </w:r>
      <w:r w:rsidRPr="00FF16B1">
        <w:rPr>
          <w:color w:val="000000"/>
          <w:sz w:val="20"/>
          <w:szCs w:val="20"/>
          <w:shd w:val="clear" w:color="auto" w:fill="FFFFFF"/>
          <w:lang w:val="hy-AM"/>
        </w:rPr>
        <w:t xml:space="preserve"> </w:t>
      </w:r>
      <w:r w:rsidR="00B841CE" w:rsidRPr="00FF16B1">
        <w:rPr>
          <w:sz w:val="20"/>
          <w:szCs w:val="20"/>
          <w:lang w:val="hy-AM"/>
        </w:rPr>
        <w:t>արգելվում է այնպիսի աշխատանքների կատարումը,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 (սողանքներ, լանջերի փլվածքներ, ձորակներ, լճակներ կամ հողերի ճահճացում)։ Փոփոխություններում և/կամ առարկություններին կից չեն ներկայացվել հիմնավորումներ, որ հորատապայթեցման աշխատանքների իրականացումը կհանգեցներ նշված փոփոխություններին։</w:t>
      </w:r>
    </w:p>
    <w:p w14:paraId="6BF7674C" w14:textId="50204680" w:rsidR="005D44B2" w:rsidRPr="005C082A" w:rsidRDefault="005D44B2" w:rsidP="00CB7FEB">
      <w:pPr>
        <w:ind w:firstLine="567"/>
        <w:jc w:val="center"/>
        <w:rPr>
          <w:b/>
          <w:szCs w:val="24"/>
          <w:u w:val="single"/>
          <w:lang w:val="hy-AM"/>
        </w:rPr>
      </w:pPr>
      <w:r w:rsidRPr="005C082A">
        <w:rPr>
          <w:b/>
          <w:szCs w:val="24"/>
          <w:u w:val="single"/>
          <w:lang w:val="hy-AM"/>
        </w:rPr>
        <w:t>Համաշխարհային բանկի աջակցությամբ իրականացվող Կենսական նշանակության ճանապարհացանցի բարելավման լրացուցիչ ծրագիր</w:t>
      </w:r>
    </w:p>
    <w:p w14:paraId="0D42C4DA" w14:textId="37322D8B" w:rsidR="005D44B2" w:rsidRPr="005C082A" w:rsidRDefault="009E7E12" w:rsidP="00CB7FEB">
      <w:pPr>
        <w:ind w:firstLine="567"/>
        <w:rPr>
          <w:b/>
          <w:i/>
          <w:szCs w:val="24"/>
          <w:lang w:val="hy-AM"/>
        </w:rPr>
      </w:pPr>
      <w:r w:rsidRPr="005C082A">
        <w:rPr>
          <w:b/>
          <w:i/>
          <w:szCs w:val="24"/>
          <w:lang w:val="hy-AM"/>
        </w:rPr>
        <w:t>5.8</w:t>
      </w:r>
      <w:r w:rsidR="005D44B2" w:rsidRPr="005C082A">
        <w:rPr>
          <w:b/>
          <w:i/>
          <w:szCs w:val="24"/>
          <w:lang w:val="hy-AM"/>
        </w:rPr>
        <w:t>.</w:t>
      </w:r>
      <w:r w:rsidR="005D44B2" w:rsidRPr="005C082A">
        <w:rPr>
          <w:rFonts w:ascii="Calibri" w:hAnsi="Calibri" w:cs="Calibri"/>
          <w:b/>
          <w:i/>
          <w:szCs w:val="24"/>
          <w:lang w:val="hy-AM"/>
        </w:rPr>
        <w:t> </w:t>
      </w:r>
      <w:r w:rsidR="005D44B2" w:rsidRPr="005C082A">
        <w:rPr>
          <w:b/>
          <w:i/>
          <w:szCs w:val="24"/>
          <w:lang w:val="hy-AM"/>
        </w:rPr>
        <w:t>Առկա է անհամապատասխանություն 21.02.2018թ-ի</w:t>
      </w:r>
      <w:r w:rsidR="006B57B7" w:rsidRPr="005C082A">
        <w:rPr>
          <w:b/>
          <w:i/>
          <w:szCs w:val="24"/>
          <w:lang w:val="hy-AM"/>
        </w:rPr>
        <w:t xml:space="preserve"> «NCB-LRNIP-AF-G/2017-RS» </w:t>
      </w:r>
      <w:r w:rsidR="005D44B2" w:rsidRPr="005C082A">
        <w:rPr>
          <w:b/>
          <w:i/>
          <w:szCs w:val="24"/>
          <w:lang w:val="hy-AM"/>
        </w:rPr>
        <w:t>Պայմանագրի</w:t>
      </w:r>
      <w:r w:rsidR="006B57B7" w:rsidRPr="005C082A">
        <w:rPr>
          <w:b/>
          <w:i/>
          <w:szCs w:val="24"/>
          <w:lang w:val="hy-AM"/>
        </w:rPr>
        <w:t xml:space="preserve"> ՊԸՊ</w:t>
      </w:r>
      <w:r w:rsidR="005D44B2" w:rsidRPr="005C082A">
        <w:rPr>
          <w:b/>
          <w:i/>
          <w:szCs w:val="24"/>
          <w:lang w:val="hy-AM"/>
        </w:rPr>
        <w:t xml:space="preserve"> 27.1 կետի պահանջների հետ։</w:t>
      </w:r>
    </w:p>
    <w:p w14:paraId="3E9E48F5" w14:textId="55D54104" w:rsidR="00B94FC2" w:rsidRPr="005C082A" w:rsidRDefault="00B94FC2" w:rsidP="00CB7FEB">
      <w:pPr>
        <w:ind w:firstLine="567"/>
        <w:rPr>
          <w:b/>
          <w:szCs w:val="24"/>
          <w:lang w:val="hy-AM"/>
        </w:rPr>
      </w:pPr>
      <w:r w:rsidRPr="005C082A">
        <w:rPr>
          <w:szCs w:val="24"/>
          <w:lang w:val="hy-AM"/>
        </w:rPr>
        <w:t xml:space="preserve"> «NCB-LRNIP-AF-G/2017-RS» պայմանագրի պայմանագրային գինը սահմանվել է 235,292.53 հազ. դրամ, որից 223,138.08 հազ. դրամը՝ ապրանքների (ճանապարհային նշանների) մատակարարման, իսկ 12,154.44 հազ. դրամը՝ հարակից ծառայությունների մատուցման համար։ </w:t>
      </w:r>
    </w:p>
    <w:p w14:paraId="55868495" w14:textId="4C2FF2D2" w:rsidR="005D44B2" w:rsidRPr="005C082A" w:rsidRDefault="005D44B2" w:rsidP="00CB7FEB">
      <w:pPr>
        <w:ind w:firstLine="567"/>
        <w:rPr>
          <w:szCs w:val="24"/>
          <w:lang w:val="hy-AM"/>
        </w:rPr>
      </w:pPr>
      <w:r w:rsidRPr="005C082A">
        <w:rPr>
          <w:szCs w:val="24"/>
          <w:lang w:val="hy-AM"/>
        </w:rPr>
        <w:t xml:space="preserve">Համաձայն </w:t>
      </w:r>
      <w:r w:rsidR="006B57B7" w:rsidRPr="005C082A">
        <w:rPr>
          <w:szCs w:val="24"/>
          <w:lang w:val="hy-AM"/>
        </w:rPr>
        <w:t xml:space="preserve">ՊԸՊ </w:t>
      </w:r>
      <w:r w:rsidRPr="005C082A">
        <w:rPr>
          <w:szCs w:val="24"/>
          <w:lang w:val="hy-AM"/>
        </w:rPr>
        <w:t>27.1 կետի՝ «եթե սույն պայմանագրում սահմանված ժամկետներում մատակարարը չի կարողանում առաքել ապրանքներից որևէ մեկը կամ բոլորը կամ ծառայություններ մատուցել, ապա գնորդը պայմանագրային գնից կարող է նվազեցնել վնասի փոխհատուցումը, որի գումարը հավասար կլինի ուշացված ապրանքների կամ չկատարված ծառայությունների հանձնված գնի ՊՀՊ-</w:t>
      </w:r>
      <w:r w:rsidRPr="005C082A">
        <w:rPr>
          <w:szCs w:val="24"/>
          <w:lang w:val="hy-AM"/>
        </w:rPr>
        <w:lastRenderedPageBreak/>
        <w:t xml:space="preserve">ում նշված տոկոսին» և ըստ </w:t>
      </w:r>
      <w:r w:rsidR="006B57B7" w:rsidRPr="005C082A">
        <w:rPr>
          <w:szCs w:val="24"/>
          <w:lang w:val="hy-AM"/>
        </w:rPr>
        <w:t>ՊՀՊ</w:t>
      </w:r>
      <w:r w:rsidRPr="005C082A">
        <w:rPr>
          <w:szCs w:val="24"/>
          <w:lang w:val="hy-AM"/>
        </w:rPr>
        <w:t xml:space="preserve"> 27.1 կետի՝ «Վնասի փոխհատուցումը կազմում է շաբաթական պայմանագրի գումարի 0.1%»։ </w:t>
      </w:r>
    </w:p>
    <w:p w14:paraId="24993A79" w14:textId="7B8A5442" w:rsidR="005D44B2" w:rsidRPr="005C082A" w:rsidRDefault="005D44B2" w:rsidP="00CB7FEB">
      <w:pPr>
        <w:ind w:firstLine="567"/>
        <w:rPr>
          <w:szCs w:val="24"/>
          <w:lang w:val="hy-AM"/>
        </w:rPr>
      </w:pPr>
      <w:r w:rsidRPr="005C082A">
        <w:rPr>
          <w:szCs w:val="24"/>
          <w:lang w:val="hy-AM"/>
        </w:rPr>
        <w:t xml:space="preserve">Ըստ </w:t>
      </w:r>
      <w:r w:rsidR="006B57B7" w:rsidRPr="005C082A">
        <w:rPr>
          <w:szCs w:val="24"/>
          <w:lang w:val="hy-AM"/>
        </w:rPr>
        <w:t>ՊԸՊ</w:t>
      </w:r>
      <w:r w:rsidRPr="005C082A">
        <w:rPr>
          <w:szCs w:val="24"/>
          <w:lang w:val="hy-AM"/>
        </w:rPr>
        <w:t xml:space="preserve"> 12.1 կետի ապրանքները և հարակից ծառայությունները պետք է մատակարարվեն համաձայն «Պահանջների ցանկի» (Պայմանագրում այդ բաժինը վերնագրված է «Ապրանքների ցուցակ և մատակարարման ժամանակացույց»), և ըստ 13.1 կետի մատակարարի կողմից ապրանքների առաքումը և հարակից ծառայությունների ավարտը պետք է կատարվի համաձայն «Պահանջների ցանկում» նշված առաքման և ավարտի ժամանակացույցի։ Համաձայն վերջինիս ապրանքների առաքման վերջնական ամսաթիվը 21.06.2018թ.-ն է (պայմանագրի ստորագրումից հաշված 4 ամիս), իսկ ծառայությունների մատուցման վերջնաժամկետը 20.08.2018թ։</w:t>
      </w:r>
    </w:p>
    <w:p w14:paraId="059717C1" w14:textId="77777777" w:rsidR="005D44B2" w:rsidRPr="005C082A" w:rsidRDefault="005D44B2" w:rsidP="00CB7FEB">
      <w:pPr>
        <w:ind w:firstLine="567"/>
        <w:rPr>
          <w:szCs w:val="24"/>
          <w:lang w:val="hy-AM"/>
        </w:rPr>
      </w:pPr>
      <w:r w:rsidRPr="005C082A">
        <w:rPr>
          <w:szCs w:val="24"/>
          <w:lang w:val="hy-AM"/>
        </w:rPr>
        <w:t xml:space="preserve">Համաձայն պայմանագրի 34-րդ կետի 34.1 ենթակետի՝ «եթե Պայմանագրի իրականացման ժամանակ մատակարարը հանդիպում է Ապրանքների ժամանակին առաքմանը կամ Ծառայությունների մատուցմանը </w:t>
      </w:r>
      <w:r w:rsidRPr="005C082A">
        <w:rPr>
          <w:b/>
          <w:i/>
          <w:szCs w:val="24"/>
          <w:lang w:val="hy-AM"/>
        </w:rPr>
        <w:t xml:space="preserve">խոչընդոտող </w:t>
      </w:r>
      <w:r w:rsidRPr="005C082A">
        <w:rPr>
          <w:szCs w:val="24"/>
          <w:lang w:val="hy-AM"/>
        </w:rPr>
        <w:t xml:space="preserve">պայմանների, Մատակարարը պետք է </w:t>
      </w:r>
      <w:r w:rsidRPr="005C082A">
        <w:rPr>
          <w:b/>
          <w:i/>
          <w:szCs w:val="24"/>
          <w:u w:val="single"/>
          <w:lang w:val="hy-AM"/>
        </w:rPr>
        <w:t>շտապ</w:t>
      </w:r>
      <w:r w:rsidRPr="005C082A">
        <w:rPr>
          <w:szCs w:val="24"/>
          <w:lang w:val="hy-AM"/>
        </w:rPr>
        <w:t xml:space="preserve"> </w:t>
      </w:r>
      <w:r w:rsidRPr="005C082A">
        <w:rPr>
          <w:b/>
          <w:szCs w:val="24"/>
          <w:lang w:val="hy-AM"/>
        </w:rPr>
        <w:t>«promptly»</w:t>
      </w:r>
      <w:r w:rsidRPr="005C082A">
        <w:rPr>
          <w:szCs w:val="24"/>
          <w:lang w:val="hy-AM"/>
        </w:rPr>
        <w:t xml:space="preserve"> գրավոր կերպով տեղյակ պահի Գնորդին ուշացման փաստի, նրա հնարավոր տևողության և պատճառների մասին։ Մատակարարի ծանուցումը ստանալուց հետո, Գնորդը հնարավորինս արագ պետք է գնահատի իրավիճակը և կարող է իր հայեցողությամբ երկարացնել Մատակարարի աշխատանքի ժամկետը, որի դեպքում երկարացումը պետք է վավերացվի երկու կողմերի կողմից՝ Պայմանագրի փոփոխման միջոցով»։</w:t>
      </w:r>
    </w:p>
    <w:p w14:paraId="1076EBD5" w14:textId="1630FCF9" w:rsidR="005D44B2" w:rsidRPr="005C082A" w:rsidRDefault="005D44B2" w:rsidP="00CB7FEB">
      <w:pPr>
        <w:ind w:firstLine="567"/>
        <w:rPr>
          <w:szCs w:val="24"/>
          <w:lang w:val="hy-AM"/>
        </w:rPr>
      </w:pPr>
      <w:r w:rsidRPr="005C082A">
        <w:rPr>
          <w:szCs w:val="24"/>
          <w:lang w:val="hy-AM"/>
        </w:rPr>
        <w:t xml:space="preserve">Համաձայն պայմանագրի 34.2 կետի պահանջի բացի ՊԸՊ կետ 32-ով սահմանված ֆորս մաժորային իրադարձություններից, մատակարարի կողմից առաքման և ավարտման պարտավորությունների կատարման ուշացումը ՊԸՊ կետ 26-ի համաձայն առաջ է բերում վնասի փոխհատուցում վերջինիս կողմից, բացառությամբ այն դեպքի, երբ ՊԸՊ 34.1 կետով ժամկետի երկարաձգումը համաձայնեցված է։ </w:t>
      </w:r>
    </w:p>
    <w:p w14:paraId="21C9092D" w14:textId="28BF8A97" w:rsidR="00C90BDD" w:rsidRPr="001870D4" w:rsidRDefault="00C90BDD" w:rsidP="00C90BDD">
      <w:pPr>
        <w:ind w:firstLine="567"/>
        <w:rPr>
          <w:szCs w:val="24"/>
          <w:lang w:val="hy-AM"/>
        </w:rPr>
      </w:pPr>
      <w:r w:rsidRPr="006106FE">
        <w:rPr>
          <w:szCs w:val="24"/>
          <w:lang w:val="hy-AM"/>
        </w:rPr>
        <w:t>Մատակարարը 15.08.2018թ.</w:t>
      </w:r>
      <w:r w:rsidR="001870D4" w:rsidRPr="00650A93">
        <w:rPr>
          <w:szCs w:val="24"/>
          <w:lang w:val="hy-AM"/>
        </w:rPr>
        <w:t>-ին՝</w:t>
      </w:r>
      <w:r w:rsidRPr="006106FE">
        <w:rPr>
          <w:szCs w:val="24"/>
          <w:lang w:val="hy-AM"/>
        </w:rPr>
        <w:t xml:space="preserve"> </w:t>
      </w:r>
      <w:r w:rsidR="001870D4" w:rsidRPr="006106FE">
        <w:rPr>
          <w:szCs w:val="24"/>
          <w:lang w:val="hy-AM"/>
        </w:rPr>
        <w:t xml:space="preserve">ապրանքների առաքման վերջնաժակետից 2 ամիս </w:t>
      </w:r>
      <w:r w:rsidR="00736FA2" w:rsidRPr="00650A93">
        <w:rPr>
          <w:szCs w:val="24"/>
          <w:lang w:val="hy-AM"/>
        </w:rPr>
        <w:t xml:space="preserve">հետո </w:t>
      </w:r>
      <w:r w:rsidR="001870D4" w:rsidRPr="006106FE">
        <w:rPr>
          <w:szCs w:val="24"/>
          <w:lang w:val="hy-AM"/>
        </w:rPr>
        <w:t>և հարակից ծառայությունների մատուցման վերջնաժամկետից ընդամենը 2 օր առաջ</w:t>
      </w:r>
      <w:r w:rsidR="001870D4" w:rsidRPr="00650A93">
        <w:rPr>
          <w:szCs w:val="24"/>
          <w:lang w:val="hy-AM"/>
        </w:rPr>
        <w:t xml:space="preserve">, </w:t>
      </w:r>
      <w:r w:rsidRPr="006106FE">
        <w:rPr>
          <w:szCs w:val="24"/>
          <w:lang w:val="hy-AM"/>
        </w:rPr>
        <w:t>գրությամբ, դիմել է պատվիրատուին, նշելով որ ճանապարհային նշանների արտադրությունը ուշանում է և խնդրել է 2 ամսով հետաձգելու</w:t>
      </w:r>
      <w:r w:rsidRPr="005C082A">
        <w:rPr>
          <w:szCs w:val="24"/>
          <w:lang w:val="hy-AM"/>
        </w:rPr>
        <w:t xml:space="preserve"> վերոնշյալ պայմանագրի վերջնաժամկետը՝ այն սահմանելով 2018թ-ի հոկիտեմբերի 21-ը։</w:t>
      </w:r>
      <w:r w:rsidR="001870D4" w:rsidRPr="00650A93">
        <w:rPr>
          <w:szCs w:val="24"/>
          <w:lang w:val="hy-AM"/>
        </w:rPr>
        <w:t xml:space="preserve"> Ընդ որում Մատակակարը </w:t>
      </w:r>
      <w:r w:rsidR="001870D4">
        <w:rPr>
          <w:lang w:val="hy-AM"/>
        </w:rPr>
        <w:t xml:space="preserve">ըստ էության, տեղեկացրել </w:t>
      </w:r>
      <w:r w:rsidR="001870D4" w:rsidRPr="00650A93">
        <w:rPr>
          <w:lang w:val="hy-AM"/>
        </w:rPr>
        <w:t xml:space="preserve">է </w:t>
      </w:r>
      <w:r w:rsidR="001870D4">
        <w:rPr>
          <w:lang w:val="hy-AM"/>
        </w:rPr>
        <w:t>«նշանների արտադրության» մասին, որը պայմանագրով սահմանված պայման չէ։</w:t>
      </w:r>
    </w:p>
    <w:p w14:paraId="3D41FE01" w14:textId="616777DE" w:rsidR="005D44B2" w:rsidRPr="005C082A" w:rsidRDefault="005D44B2" w:rsidP="00CB7FEB">
      <w:pPr>
        <w:ind w:firstLine="567"/>
        <w:rPr>
          <w:szCs w:val="24"/>
          <w:lang w:val="hy-AM"/>
        </w:rPr>
      </w:pPr>
      <w:r w:rsidRPr="005C082A">
        <w:rPr>
          <w:szCs w:val="24"/>
          <w:lang w:val="hy-AM"/>
        </w:rPr>
        <w:lastRenderedPageBreak/>
        <w:t>20.08.2018 թվականին, հղում անելով պայմանագրի 34.1 կետին և Մատակարարի 15.08.2018թ գրությանը,  կողմերը կնքել են «N NCB-LRNIP-AF-G/2017-RS պայմանագրում փոփոխություն կատարելու մասին» hամաձայնագիր N3-ը, որով փոփոխվել են «1. Ապրանքների ցուցակ և մատակարարման ժամանակացույցը» և «2. Հարակից ծառայությունների ցանկ և դրանց ավարտման ժամանակացույցը»՝ երկարաձգելով դրանց ժամկետները համապատասխանաբար 3 և 2 ամսով վերջնաժանմկետ սահմանելով 21.09.2018թ.ն և 20.10.2018թ։</w:t>
      </w:r>
    </w:p>
    <w:p w14:paraId="27BA4BF9" w14:textId="77777777" w:rsidR="005D44B2" w:rsidRPr="005C082A" w:rsidRDefault="005D44B2" w:rsidP="00CB7FEB">
      <w:pPr>
        <w:ind w:firstLine="567"/>
        <w:rPr>
          <w:szCs w:val="24"/>
          <w:lang w:val="hy-AM"/>
        </w:rPr>
      </w:pPr>
      <w:r w:rsidRPr="005C082A">
        <w:rPr>
          <w:szCs w:val="24"/>
          <w:lang w:val="hy-AM"/>
        </w:rPr>
        <w:t>Համաձայն «Ապրանքների առկայության ստուգման մասին Ակտ 1»-ի և 31.07.2019թ Ակտի ապրանքները առաքվել և հարակից ծառայությունները մատուցվել են նույնիսկ Համաձայնագրում սահմանված ժամկետների ուշացումով։ Ապրանքները փաստացի մատակարարվել են 29.11.2018-ին, իսկ ծառայությունները մատուցվել են 31.07.2019թ-ին կամ համաձայնագրում նշված ժամկետներից 9 շաբաթ և 37 շաբաթ ուշացումով իսկ պայմանագրով սահմանված ժամկետներից 23 շաբաթ և 49 շաբաթ ուշացումներով։</w:t>
      </w:r>
    </w:p>
    <w:p w14:paraId="3101609B" w14:textId="742D9E8D" w:rsidR="005D44B2" w:rsidRDefault="005D44B2" w:rsidP="00CB7FEB">
      <w:pPr>
        <w:ind w:firstLine="567"/>
        <w:rPr>
          <w:b/>
          <w:i/>
          <w:szCs w:val="24"/>
          <w:u w:val="single"/>
          <w:lang w:val="hy-AM"/>
        </w:rPr>
      </w:pPr>
      <w:r w:rsidRPr="005C082A">
        <w:rPr>
          <w:szCs w:val="24"/>
          <w:lang w:val="hy-AM"/>
        </w:rPr>
        <w:t xml:space="preserve">Ապրանքների առաքման և ծառայությունների մատուցման ժամկետների ուշացման համար, ապրանքների ավարտի ժամկետից 2 ամիս անց  մատակարարի կողմից դիմելը համարելով որպես շտապ տեղյակ պահել և մատակարարի նշած «…նշանների ատադրության ուշացնելը…» պատճառաբանությունը ընդունելով որպես ապրանքների մատակարմանը խոչընդոտող պայման, պայմանագրի 27.1 կետով սահմանված </w:t>
      </w:r>
      <w:r w:rsidR="00C90BDD" w:rsidRPr="005C082A">
        <w:rPr>
          <w:szCs w:val="24"/>
          <w:lang w:val="hy-AM"/>
        </w:rPr>
        <w:t>վ</w:t>
      </w:r>
      <w:r w:rsidRPr="005C082A">
        <w:rPr>
          <w:szCs w:val="24"/>
          <w:lang w:val="hy-AM"/>
        </w:rPr>
        <w:t>նասի փոխհատուցումը՝ տույժը համապատասխանաբար 5,132.18 հազ. դրամ և 595.57 հազ. դրամ հաշվարկելու փոխարեն հաշվարկել են 2,008.24 հազ. դրամ և 449.71 հազ. դրամ կամ պակաս համապատասխանաբար</w:t>
      </w:r>
      <w:r w:rsidRPr="005C082A">
        <w:rPr>
          <w:b/>
          <w:szCs w:val="24"/>
          <w:lang w:val="hy-AM"/>
        </w:rPr>
        <w:t xml:space="preserve"> </w:t>
      </w:r>
      <w:r w:rsidRPr="005C082A">
        <w:rPr>
          <w:b/>
          <w:i/>
          <w:szCs w:val="24"/>
          <w:u w:val="single"/>
          <w:lang w:val="hy-AM"/>
        </w:rPr>
        <w:t>3,123.93 հազ. դրամով և 145.85 հազ. դրամով։</w:t>
      </w:r>
    </w:p>
    <w:p w14:paraId="201E47A8" w14:textId="5E7E13B9"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065B3B6F" w14:textId="77777777" w:rsidR="00865B4B" w:rsidRPr="00605A07" w:rsidRDefault="00865B4B">
      <w:pPr>
        <w:ind w:firstLine="567"/>
        <w:rPr>
          <w:sz w:val="20"/>
          <w:szCs w:val="20"/>
          <w:lang w:val="hy-AM"/>
        </w:rPr>
      </w:pPr>
      <w:r w:rsidRPr="00605A07">
        <w:rPr>
          <w:sz w:val="20"/>
          <w:szCs w:val="20"/>
          <w:lang w:val="hy-AM"/>
        </w:rPr>
        <w:t xml:space="preserve">2018 թվականի փետրվարի 21-ին ՊՈԱԿ-ի և ՀՁ «Սուարդի» ԲԸ և «Պրեալյուքս» ՍՊԸ-ի  միջև կնքվել է Ճանապարհային նշանների մատակարարման և տեղադրման  NCB-LRNIP-AF-G/2017-RS  235,292,529 ՀՀ դրամ արժեքով պայմանագիրը: Պայմանագրի գնացուցակի համաձայն մատակարարվող ապրանքների արժեքը կազմում է 223,138,084 ՀՀ դրամ, իսկ մնացած 12,154,445 ՀՀ դրամը մատուցվող հարակից ծառայությունների արժեքն է: </w:t>
      </w:r>
    </w:p>
    <w:p w14:paraId="7503BECE" w14:textId="77777777" w:rsidR="00865B4B" w:rsidRPr="00605A07" w:rsidRDefault="00865B4B">
      <w:pPr>
        <w:ind w:firstLine="567"/>
        <w:rPr>
          <w:sz w:val="20"/>
          <w:szCs w:val="20"/>
          <w:lang w:val="hy-AM"/>
        </w:rPr>
      </w:pPr>
      <w:r w:rsidRPr="00605A07">
        <w:rPr>
          <w:sz w:val="20"/>
          <w:szCs w:val="20"/>
          <w:lang w:val="hy-AM"/>
        </w:rPr>
        <w:t>2018 թվականի ապրիլի 20-ին կնքվել է պայմանագրում փոփոխություն կատարելու մասին N 2 համաձայնագիրը, համաձայն որի վճարումները պետք է կատարվեին հետևյալ կերպ՝</w:t>
      </w:r>
    </w:p>
    <w:p w14:paraId="2BBBC87E" w14:textId="77777777" w:rsidR="00865B4B" w:rsidRPr="00605A07" w:rsidRDefault="00865B4B">
      <w:pPr>
        <w:ind w:firstLine="567"/>
        <w:rPr>
          <w:sz w:val="20"/>
          <w:szCs w:val="20"/>
          <w:lang w:val="hy-AM"/>
        </w:rPr>
      </w:pPr>
      <w:r w:rsidRPr="00605A07">
        <w:rPr>
          <w:sz w:val="20"/>
          <w:szCs w:val="20"/>
          <w:lang w:val="hy-AM"/>
        </w:rPr>
        <w:t>•</w:t>
      </w:r>
      <w:r w:rsidRPr="00605A07">
        <w:rPr>
          <w:sz w:val="20"/>
          <w:szCs w:val="20"/>
          <w:lang w:val="hy-AM"/>
        </w:rPr>
        <w:tab/>
        <w:t>պետք է վճարվեր մատակարված  ապրանքների արժեքի 90 (իննսուն)  տոկոսը իսկ մնացած 10 (տասը) տոկոսը ՝ պայմանագրի ավարտից հետո մատուցված հարակից ծառայություւների արժեքի հետ միասին:</w:t>
      </w:r>
    </w:p>
    <w:p w14:paraId="5A23EB1F" w14:textId="77777777" w:rsidR="00865B4B" w:rsidRPr="00605A07" w:rsidRDefault="00865B4B">
      <w:pPr>
        <w:ind w:firstLine="567"/>
        <w:rPr>
          <w:sz w:val="20"/>
          <w:szCs w:val="20"/>
          <w:lang w:val="hy-AM"/>
        </w:rPr>
      </w:pPr>
      <w:r w:rsidRPr="00605A07">
        <w:rPr>
          <w:sz w:val="20"/>
          <w:szCs w:val="20"/>
          <w:lang w:val="hy-AM"/>
        </w:rPr>
        <w:lastRenderedPageBreak/>
        <w:t>Ապրանքները մատակարարվել են 2018 թվականի նոյեմբերի 29-ին և դուրս է գրվել հարկային հաշիվ  պայմանագրում սահմանված ապրանքների ամբողջ քանակի և արժեքի 90 (իննսուն)  տոկոսի չափով՝  200,824,275.50 ՀՀ դրամ և վճարվել է 2018թ. դեկտեմբերի 27-ին: Մինչդեռ պետք է դուրս գրվեր  ամբողջ արժեքի չափով, բայց վճարվեր  գումարի 90 (իննսուն)  տոկոսը: 2019 թ. օգոստոսի 8-ին ՀՁ «Սուարդի» ԲԸ և «Պրեալյուքս» ՍՊԸ-ի  կողմից դուրս է գրվել ճշգրտող հաշիվ պայմանագրով սահմանված ապրանքների ամբողջ արժեքի ՝ 223,138,084 ՀՀ դրամի չափով, որից  200,824,275.50 ՀՀ դրամը  վճարվել էր 2018 թ. դեկտեմբերի 27-ին: Իսկ մնացած 20,305,565.60 ՀՀ դրամը վճարվել է հաշվարկված 2,008,242.9 ՀՀ դրամ տույժի գումարը նվազեցնելուց հետո:</w:t>
      </w:r>
    </w:p>
    <w:p w14:paraId="2EFFFB53" w14:textId="77777777" w:rsidR="00865B4B" w:rsidRPr="00605A07" w:rsidRDefault="00865B4B">
      <w:pPr>
        <w:ind w:firstLine="567"/>
        <w:rPr>
          <w:sz w:val="20"/>
          <w:szCs w:val="20"/>
          <w:lang w:val="hy-AM"/>
        </w:rPr>
      </w:pPr>
      <w:r w:rsidRPr="00605A07">
        <w:rPr>
          <w:sz w:val="20"/>
          <w:szCs w:val="20"/>
          <w:lang w:val="hy-AM"/>
        </w:rPr>
        <w:t>Իսկ մատուցված հարակից ծայությունների համար  2019 թ. օգոստոսի 8-ին ՀՁ «Սուարդի» ԲԸ և «Պրեալյուքս» ՍՊԸ-ի  կողմից դուրս է գրվել 12,154,445.0 ՀՀ դրամի չափով հաշիվ: Հաշվարկված  տույժի 449,712.8 ՀՀ դրամ գումարը նվազեցնելուց հետո ՊՈԱԿ-ի կողմից վճարվել է 11,704,732.2 ՀՀ դրամ:</w:t>
      </w:r>
    </w:p>
    <w:p w14:paraId="25C77E05" w14:textId="5A5E72A5" w:rsidR="00865B4B" w:rsidRPr="00605A07" w:rsidRDefault="00865B4B" w:rsidP="00FF16B1">
      <w:pPr>
        <w:spacing w:before="240" w:after="0"/>
        <w:ind w:firstLine="567"/>
        <w:rPr>
          <w:b/>
          <w:sz w:val="20"/>
          <w:szCs w:val="20"/>
          <w:lang w:val="hy-AM"/>
        </w:rPr>
      </w:pPr>
      <w:r w:rsidRPr="00605A07">
        <w:rPr>
          <w:sz w:val="20"/>
          <w:szCs w:val="20"/>
          <w:lang w:val="hy-AM"/>
        </w:rPr>
        <w:t>Հարցը համակողմանի ուսումնասիրելու և վերջնական դիրքորոշում հայտնելու համար անհրաժեշտ է լրացուցիչ ժամանակ։</w:t>
      </w:r>
    </w:p>
    <w:p w14:paraId="44AFB326" w14:textId="4EDE5028"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41B5F87B" w14:textId="3D05FDC6" w:rsidR="00865B4B" w:rsidRPr="00605A07" w:rsidRDefault="00865B4B" w:rsidP="00FF16B1">
      <w:pPr>
        <w:spacing w:before="240" w:after="0"/>
        <w:ind w:firstLine="567"/>
        <w:rPr>
          <w:sz w:val="20"/>
          <w:szCs w:val="20"/>
          <w:lang w:val="hy-AM"/>
        </w:rPr>
      </w:pPr>
      <w:r w:rsidRPr="00605A07">
        <w:rPr>
          <w:sz w:val="20"/>
          <w:szCs w:val="20"/>
          <w:lang w:val="hy-AM"/>
        </w:rPr>
        <w:t>Անհամապատասխանությունը չի առարկվել։</w:t>
      </w:r>
    </w:p>
    <w:p w14:paraId="227742F1" w14:textId="3BE0103B" w:rsidR="005D44B2" w:rsidRPr="005C082A" w:rsidRDefault="00B94FC2" w:rsidP="00CB7FEB">
      <w:pPr>
        <w:ind w:firstLine="567"/>
        <w:rPr>
          <w:b/>
          <w:i/>
          <w:szCs w:val="24"/>
          <w:lang w:val="hy-AM"/>
        </w:rPr>
      </w:pPr>
      <w:r w:rsidRPr="005C082A">
        <w:rPr>
          <w:b/>
          <w:i/>
          <w:szCs w:val="24"/>
          <w:lang w:val="hy-AM"/>
        </w:rPr>
        <w:t xml:space="preserve">5.9. </w:t>
      </w:r>
      <w:r w:rsidR="005D44B2" w:rsidRPr="005C082A">
        <w:rPr>
          <w:b/>
          <w:i/>
          <w:szCs w:val="24"/>
          <w:lang w:val="hy-AM"/>
        </w:rPr>
        <w:t xml:space="preserve">Առկա է անհամապատասխանություն </w:t>
      </w:r>
      <w:r w:rsidRPr="005C082A">
        <w:rPr>
          <w:b/>
          <w:i/>
          <w:szCs w:val="24"/>
          <w:lang w:val="hy-AM"/>
        </w:rPr>
        <w:t xml:space="preserve">15.05.2018 թվականին կնքված </w:t>
      </w:r>
      <w:r w:rsidR="005D44B2" w:rsidRPr="005C082A">
        <w:rPr>
          <w:b/>
          <w:i/>
          <w:szCs w:val="24"/>
          <w:lang w:val="hy-AM"/>
        </w:rPr>
        <w:t>«ICB-LRNIP-AF-G2017-RSP»</w:t>
      </w:r>
      <w:r w:rsidRPr="005C082A">
        <w:rPr>
          <w:b/>
          <w:i/>
          <w:szCs w:val="24"/>
          <w:lang w:val="hy-AM"/>
        </w:rPr>
        <w:t xml:space="preserve"> պայմանագրի</w:t>
      </w:r>
      <w:r w:rsidR="005D44B2" w:rsidRPr="005C082A">
        <w:rPr>
          <w:b/>
          <w:i/>
          <w:szCs w:val="24"/>
          <w:lang w:val="hy-AM"/>
        </w:rPr>
        <w:t xml:space="preserve"> </w:t>
      </w:r>
      <w:r w:rsidRPr="005C082A">
        <w:rPr>
          <w:b/>
          <w:i/>
          <w:szCs w:val="24"/>
          <w:lang w:val="hy-AM"/>
        </w:rPr>
        <w:t>ՊԸՊ</w:t>
      </w:r>
      <w:r w:rsidR="005D44B2" w:rsidRPr="005C082A">
        <w:rPr>
          <w:b/>
          <w:i/>
          <w:szCs w:val="24"/>
          <w:lang w:val="hy-AM"/>
        </w:rPr>
        <w:t xml:space="preserve"> 14.1 և 13.1 ենթակետերի պահանջների հետ։</w:t>
      </w:r>
    </w:p>
    <w:p w14:paraId="544FEF37" w14:textId="7F578221" w:rsidR="005D44B2" w:rsidRPr="005C082A" w:rsidRDefault="00B94FC2" w:rsidP="00CB7FEB">
      <w:pPr>
        <w:ind w:firstLine="567"/>
        <w:rPr>
          <w:szCs w:val="24"/>
          <w:lang w:val="hy-AM"/>
        </w:rPr>
      </w:pPr>
      <w:r w:rsidRPr="005C082A">
        <w:rPr>
          <w:szCs w:val="24"/>
          <w:lang w:val="hy-AM"/>
        </w:rPr>
        <w:t>Պայմանագիրը կնքվել է</w:t>
      </w:r>
      <w:r w:rsidR="005D44B2" w:rsidRPr="005C082A">
        <w:rPr>
          <w:szCs w:val="24"/>
          <w:lang w:val="hy-AM"/>
        </w:rPr>
        <w:t xml:space="preserve"> 133.00 հազ. եվրո պայմանագրային գնով։ Ըստ պայմանագրի գնորդին պետք է մատակարարվեն 2 կոմպլեկտ պրոֆայլեր, 2 կոմպլեկտ նոթբուք, 2 կոմպլեկտ պրոֆայլինգի համար նախատեսված ծրագրային ապահովում։</w:t>
      </w:r>
    </w:p>
    <w:p w14:paraId="1998FEC1" w14:textId="77777777" w:rsidR="005D44B2" w:rsidRPr="005C082A" w:rsidRDefault="005D44B2" w:rsidP="00CB7FEB">
      <w:pPr>
        <w:ind w:firstLine="567"/>
        <w:rPr>
          <w:szCs w:val="24"/>
          <w:lang w:val="hy-AM"/>
        </w:rPr>
      </w:pPr>
      <w:r w:rsidRPr="005C082A">
        <w:rPr>
          <w:szCs w:val="24"/>
          <w:lang w:val="hy-AM"/>
        </w:rPr>
        <w:t>Համաձայն ՊԸՊ-ի 14.1 ենթակետի մատակարարը պետք է բոլոր ապրանքները և հարակից ծառայությունները մատակարարի համաձայն ՊԸՊ-ի 12-րդ և 13-րդ կետերի, իսկ ՊԸՊ 13-րդ կետի 13.1 ենթակետը սահմանում է, որ ապրանքների առաքումը և հարակից ծառայությունների ավարտը պետք է լինեն համապատասխան առաքման և ավարտման ժամանակացույցին՝ նշված «Պահանջների Ժամանակացույցում» (“Schedule of Requirements”):</w:t>
      </w:r>
    </w:p>
    <w:p w14:paraId="1D71E990" w14:textId="3C4AC966" w:rsidR="005D44B2" w:rsidRDefault="005D44B2" w:rsidP="00CB7FEB">
      <w:pPr>
        <w:ind w:firstLine="567"/>
        <w:rPr>
          <w:szCs w:val="24"/>
          <w:lang w:val="hy-AM"/>
        </w:rPr>
      </w:pPr>
      <w:r w:rsidRPr="005C082A">
        <w:rPr>
          <w:szCs w:val="24"/>
          <w:lang w:val="hy-AM"/>
        </w:rPr>
        <w:t>Ըստ պայմանագրի փոփոխություն 1-ի ապրանքների մատակարարումը պետք է կայանար 29.08.2018-ին, սակայն համաձայն «Տեղադրման ու գործարկման և ապրանքների ընդունման վկայականի» (“Certificate of Installation and commissioning and Goods Acceptance”) տեղի է ունեցել 17.09.2018-ին՝ 19 օր կամ 2.7 շաբաթ</w:t>
      </w:r>
      <w:r w:rsidR="007678AE" w:rsidRPr="00650A93">
        <w:rPr>
          <w:szCs w:val="24"/>
          <w:lang w:val="hy-AM"/>
        </w:rPr>
        <w:t xml:space="preserve"> </w:t>
      </w:r>
      <w:r w:rsidR="007678AE" w:rsidRPr="00650A93">
        <w:rPr>
          <w:szCs w:val="24"/>
          <w:lang w:val="hy-AM"/>
        </w:rPr>
        <w:lastRenderedPageBreak/>
        <w:t>ուշացմամբ</w:t>
      </w:r>
      <w:r w:rsidRPr="003810E9">
        <w:rPr>
          <w:szCs w:val="24"/>
          <w:lang w:val="hy-AM"/>
        </w:rPr>
        <w:t xml:space="preserve">, </w:t>
      </w:r>
      <w:r w:rsidRPr="005C082A">
        <w:rPr>
          <w:szCs w:val="24"/>
          <w:lang w:val="hy-AM"/>
        </w:rPr>
        <w:t xml:space="preserve">իսկ սարքավորումների տեղադրումը և գործարկումը պետք է տեղի ունենար 14.09.2018-ին, սակայն տեղի է ունեցել 17.09.2018-ին՝ 3 օր ուշացմամբ կամ 0.4 շաբաթ։ Համաձայն «Պայմանագրի Ընդհանուր Պայմանների» (“General Conditions of Contract”) 27-րդ կետի և </w:t>
      </w:r>
      <w:r w:rsidR="006B57B7" w:rsidRPr="005C082A">
        <w:rPr>
          <w:szCs w:val="24"/>
          <w:lang w:val="hy-AM"/>
        </w:rPr>
        <w:t>ՊՀՊ-ի</w:t>
      </w:r>
      <w:r w:rsidRPr="005C082A">
        <w:rPr>
          <w:szCs w:val="24"/>
          <w:lang w:val="hy-AM"/>
        </w:rPr>
        <w:t xml:space="preserve"> (“Special Conditions of Contract”) GCC 27.1 կետերի «liquidated damage»-ի («լիկվիդացված վնաս») ընդհանուր գումարը պետք է կազմեր 416.1 եվրո։ Նշված գումարը պայմանագրի գնից չի նվազեցվել։</w:t>
      </w:r>
    </w:p>
    <w:p w14:paraId="496EE5A1" w14:textId="518267BE"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07D36A29" w14:textId="77777777" w:rsidR="00D04870" w:rsidRPr="00605A07" w:rsidRDefault="00D04870">
      <w:pPr>
        <w:ind w:firstLine="567"/>
        <w:rPr>
          <w:b/>
          <w:bCs/>
          <w:sz w:val="20"/>
          <w:szCs w:val="20"/>
          <w:u w:val="single"/>
          <w:lang w:val="hy-AM"/>
        </w:rPr>
      </w:pPr>
      <w:r w:rsidRPr="00605A07">
        <w:rPr>
          <w:b/>
          <w:bCs/>
          <w:sz w:val="20"/>
          <w:szCs w:val="20"/>
          <w:u w:val="single"/>
          <w:lang w:val="hy-AM"/>
        </w:rPr>
        <w:t>Առարկություն</w:t>
      </w:r>
    </w:p>
    <w:p w14:paraId="549C5772" w14:textId="77777777" w:rsidR="00D04870" w:rsidRPr="00605A07" w:rsidRDefault="00D04870">
      <w:pPr>
        <w:ind w:firstLine="567"/>
        <w:rPr>
          <w:sz w:val="20"/>
          <w:szCs w:val="20"/>
          <w:lang w:val="hy-AM"/>
        </w:rPr>
      </w:pPr>
      <w:r w:rsidRPr="00605A07">
        <w:rPr>
          <w:sz w:val="20"/>
          <w:szCs w:val="20"/>
          <w:lang w:val="hy-AM"/>
        </w:rPr>
        <w:t>2018թ. մայիսի 15-ին «Տրանսպորտային ծրագրերի իրականացման կազմակերպություն» ՊՈԱԿ-ի</w:t>
      </w:r>
      <w:r w:rsidRPr="00605A07">
        <w:rPr>
          <w:rFonts w:ascii="Calibri" w:hAnsi="Calibri" w:cs="Calibri"/>
          <w:sz w:val="20"/>
          <w:szCs w:val="20"/>
          <w:lang w:val="hy-AM"/>
        </w:rPr>
        <w:t> </w:t>
      </w:r>
      <w:r w:rsidRPr="00605A07">
        <w:rPr>
          <w:sz w:val="20"/>
          <w:szCs w:val="20"/>
          <w:lang w:val="hy-AM"/>
        </w:rPr>
        <w:t xml:space="preserve"> և</w:t>
      </w:r>
      <w:r w:rsidRPr="00605A07">
        <w:rPr>
          <w:rFonts w:ascii="Calibri" w:hAnsi="Calibri" w:cs="Calibri"/>
          <w:sz w:val="20"/>
          <w:szCs w:val="20"/>
          <w:lang w:val="hy-AM"/>
        </w:rPr>
        <w:t> </w:t>
      </w:r>
      <w:r w:rsidRPr="00605A07">
        <w:rPr>
          <w:sz w:val="20"/>
          <w:szCs w:val="20"/>
          <w:lang w:val="hy-AM"/>
        </w:rPr>
        <w:t xml:space="preserve"> UNIT Export Limited-ի</w:t>
      </w:r>
      <w:r w:rsidRPr="00605A07">
        <w:rPr>
          <w:rFonts w:ascii="Calibri" w:hAnsi="Calibri" w:cs="Calibri"/>
          <w:sz w:val="20"/>
          <w:szCs w:val="20"/>
          <w:lang w:val="hy-AM"/>
        </w:rPr>
        <w:t> </w:t>
      </w:r>
      <w:r w:rsidRPr="00605A07">
        <w:rPr>
          <w:sz w:val="20"/>
          <w:szCs w:val="20"/>
          <w:lang w:val="hy-AM"/>
        </w:rPr>
        <w:t xml:space="preserve"> միջև կնքվել է Ճանապարհային պրոֆայլերների մատակարարման, տեղադրման</w:t>
      </w:r>
      <w:r w:rsidRPr="00605A07">
        <w:rPr>
          <w:rFonts w:ascii="Calibri" w:hAnsi="Calibri" w:cs="Calibri"/>
          <w:sz w:val="20"/>
          <w:szCs w:val="20"/>
          <w:lang w:val="hy-AM"/>
        </w:rPr>
        <w:t>  </w:t>
      </w:r>
      <w:r w:rsidRPr="00605A07">
        <w:rPr>
          <w:sz w:val="20"/>
          <w:szCs w:val="20"/>
          <w:lang w:val="hy-AM"/>
        </w:rPr>
        <w:t xml:space="preserve"> ICB-LRNIP-AF-G/2017-RSP</w:t>
      </w:r>
      <w:r w:rsidRPr="00605A07">
        <w:rPr>
          <w:rFonts w:ascii="Calibri" w:hAnsi="Calibri" w:cs="Calibri"/>
          <w:sz w:val="20"/>
          <w:szCs w:val="20"/>
          <w:lang w:val="hy-AM"/>
        </w:rPr>
        <w:t> </w:t>
      </w:r>
      <w:r w:rsidRPr="00605A07">
        <w:rPr>
          <w:sz w:val="20"/>
          <w:szCs w:val="20"/>
          <w:lang w:val="hy-AM"/>
        </w:rPr>
        <w:t xml:space="preserve"> 133,000 Եվրո արժեքով պայմանագիրը:</w:t>
      </w:r>
    </w:p>
    <w:p w14:paraId="0CD3A53B" w14:textId="77777777" w:rsidR="00D04870" w:rsidRPr="00605A07" w:rsidRDefault="00D04870">
      <w:pPr>
        <w:ind w:firstLine="567"/>
        <w:rPr>
          <w:sz w:val="20"/>
          <w:szCs w:val="20"/>
          <w:lang w:val="hy-AM"/>
        </w:rPr>
      </w:pPr>
      <w:r w:rsidRPr="00605A07">
        <w:rPr>
          <w:sz w:val="20"/>
          <w:szCs w:val="20"/>
          <w:lang w:val="hy-AM"/>
        </w:rPr>
        <w:t>2018թ. հուլիսի 13-ին կնքվել է պայմանագրում փոփոխություն կատարելու մասին N 1 համաձայնագիրը, համաձայն որի սահմանվել են կատարման նոր վերջնաժամկետներ՝ պրոֆայլերների, համակարգիչների և համակարգչային ծրագրի համար մինչև 2018թ</w:t>
      </w:r>
      <w:r w:rsidRPr="00605A07">
        <w:rPr>
          <w:rFonts w:ascii="Cambria Math" w:hAnsi="Cambria Math" w:cs="Cambria Math"/>
          <w:sz w:val="20"/>
          <w:szCs w:val="20"/>
          <w:lang w:val="hy-AM"/>
        </w:rPr>
        <w:t>․</w:t>
      </w:r>
      <w:r w:rsidRPr="00605A07">
        <w:rPr>
          <w:sz w:val="20"/>
          <w:szCs w:val="20"/>
          <w:lang w:val="hy-AM"/>
        </w:rPr>
        <w:t xml:space="preserve"> օգոստոսի 29ը, տեղադրման համար մինչև 2018թ. սեպտեմբերի 14-ը և վերապատրաստման համար մինչև 2018թ. սեպտեմբերի 17-ը: </w:t>
      </w:r>
    </w:p>
    <w:p w14:paraId="2E7682BB" w14:textId="77777777" w:rsidR="00D04870" w:rsidRPr="00605A07" w:rsidRDefault="00D04870">
      <w:pPr>
        <w:ind w:firstLine="567"/>
        <w:rPr>
          <w:sz w:val="20"/>
          <w:szCs w:val="20"/>
          <w:lang w:val="hy-AM"/>
        </w:rPr>
      </w:pPr>
      <w:r w:rsidRPr="00605A07">
        <w:rPr>
          <w:rFonts w:ascii="Calibri" w:hAnsi="Calibri" w:cs="Calibri"/>
          <w:sz w:val="20"/>
          <w:szCs w:val="20"/>
          <w:lang w:val="hy-AM"/>
        </w:rPr>
        <w:t>  </w:t>
      </w:r>
      <w:r w:rsidRPr="00605A07">
        <w:rPr>
          <w:sz w:val="20"/>
          <w:szCs w:val="20"/>
          <w:lang w:val="hy-AM"/>
        </w:rPr>
        <w:t>Պայմանագրի</w:t>
      </w:r>
      <w:r w:rsidRPr="00605A07">
        <w:rPr>
          <w:rFonts w:ascii="Calibri" w:hAnsi="Calibri" w:cs="Calibri"/>
          <w:sz w:val="20"/>
          <w:szCs w:val="20"/>
          <w:lang w:val="hy-AM"/>
        </w:rPr>
        <w:t> </w:t>
      </w:r>
      <w:r w:rsidRPr="00605A07">
        <w:rPr>
          <w:sz w:val="20"/>
          <w:szCs w:val="20"/>
          <w:lang w:val="hy-AM"/>
        </w:rPr>
        <w:t xml:space="preserve"> GCC 16.1 կետի պահանջների համաձայն վճարվել է 10 տոկոս կանխավճար ներկայացված բանկային երաշխիքի համաձայն:</w:t>
      </w:r>
      <w:r w:rsidRPr="00605A07">
        <w:rPr>
          <w:rFonts w:ascii="Calibri" w:hAnsi="Calibri" w:cs="Calibri"/>
          <w:sz w:val="20"/>
          <w:szCs w:val="20"/>
          <w:lang w:val="hy-AM"/>
        </w:rPr>
        <w:t> </w:t>
      </w:r>
      <w:r w:rsidRPr="00605A07">
        <w:rPr>
          <w:sz w:val="20"/>
          <w:szCs w:val="20"/>
          <w:lang w:val="hy-AM"/>
        </w:rPr>
        <w:t xml:space="preserve"> Պայմանագրի արժեքի 80 տոկոս գումարի համար</w:t>
      </w:r>
      <w:r w:rsidRPr="00605A07">
        <w:rPr>
          <w:rFonts w:ascii="Calibri" w:hAnsi="Calibri" w:cs="Calibri"/>
          <w:sz w:val="20"/>
          <w:szCs w:val="20"/>
          <w:lang w:val="hy-AM"/>
        </w:rPr>
        <w:t>  </w:t>
      </w:r>
      <w:r w:rsidRPr="00605A07">
        <w:rPr>
          <w:sz w:val="20"/>
          <w:szCs w:val="20"/>
          <w:lang w:val="hy-AM"/>
        </w:rPr>
        <w:t xml:space="preserve"> 2018թ. հուլիսի 06-ին «Կոնվերս Բանկ» ՓԲԸ-ի հետ կնքվել է Դրամական միջոցներով ապահովված ակրեդիտիվի պայմանագիր, որի գործելու վերջնաժամկետը 2018թ</w:t>
      </w:r>
      <w:r w:rsidRPr="00605A07">
        <w:rPr>
          <w:rFonts w:ascii="Cambria Math" w:hAnsi="Cambria Math" w:cs="Cambria Math"/>
          <w:sz w:val="20"/>
          <w:szCs w:val="20"/>
          <w:lang w:val="hy-AM"/>
        </w:rPr>
        <w:t>․</w:t>
      </w:r>
      <w:r w:rsidRPr="00605A07">
        <w:rPr>
          <w:sz w:val="20"/>
          <w:szCs w:val="20"/>
          <w:lang w:val="hy-AM"/>
        </w:rPr>
        <w:t xml:space="preserve"> սեպտեմբերի 28-ը: «Կոնվերս Բանկ» ՓԲԸ-ի կողմից հունիսի 22-ին ներկայացվել է 106,400 Եվրո գումարի հայտ, որի համաձայն հունիսի 26-ին ՊՈԱԿ-ի կողմից կատարվել է վճարումը: </w:t>
      </w:r>
    </w:p>
    <w:p w14:paraId="1381FF8D" w14:textId="77777777" w:rsidR="00D04870" w:rsidRPr="00605A07" w:rsidRDefault="00D04870">
      <w:pPr>
        <w:ind w:firstLine="567"/>
        <w:rPr>
          <w:sz w:val="20"/>
          <w:szCs w:val="20"/>
          <w:lang w:val="hy-AM"/>
        </w:rPr>
      </w:pPr>
      <w:r w:rsidRPr="00605A07">
        <w:rPr>
          <w:sz w:val="20"/>
          <w:szCs w:val="20"/>
          <w:lang w:val="hy-AM"/>
        </w:rPr>
        <w:t>Պայմանագրով սահմանված ապրանքները մատակարարվել և ծառայությունները մատուցվել են սահմանված ժամկետներում: 2018թ</w:t>
      </w:r>
      <w:r w:rsidRPr="00605A07">
        <w:rPr>
          <w:rFonts w:ascii="Cambria Math" w:hAnsi="Cambria Math" w:cs="Cambria Math"/>
          <w:sz w:val="20"/>
          <w:szCs w:val="20"/>
          <w:lang w:val="hy-AM"/>
        </w:rPr>
        <w:t>․</w:t>
      </w:r>
      <w:r w:rsidRPr="00605A07">
        <w:rPr>
          <w:sz w:val="20"/>
          <w:szCs w:val="20"/>
          <w:lang w:val="hy-AM"/>
        </w:rPr>
        <w:t xml:space="preserve"> սեպտեմբերի 17-ին UNIT Export Limited-ի կողմից ՊՈԱԿ-ին ներկայացվել է ամփոփ վկայագիր պայմանագրի շրջանակներում նախատեսված ապրանքների մատակարարման, գործարկման և տեղադրման համար: </w:t>
      </w:r>
    </w:p>
    <w:p w14:paraId="7D357FDD" w14:textId="77777777" w:rsidR="00D04870" w:rsidRPr="00605A07" w:rsidRDefault="00D04870">
      <w:pPr>
        <w:ind w:firstLine="567"/>
        <w:rPr>
          <w:sz w:val="20"/>
          <w:szCs w:val="20"/>
          <w:lang w:val="hy-AM"/>
        </w:rPr>
      </w:pPr>
      <w:r w:rsidRPr="00605A07">
        <w:rPr>
          <w:sz w:val="20"/>
          <w:szCs w:val="20"/>
          <w:lang w:val="hy-AM"/>
        </w:rPr>
        <w:t>Ուշացումներ չեն արձանագրվել, տույժեր չեն կիրառվել:</w:t>
      </w:r>
    </w:p>
    <w:p w14:paraId="3E6C3C43" w14:textId="636A7821"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64CC9163" w14:textId="16DA11D5" w:rsidR="00865B4B" w:rsidRPr="00FF16B1" w:rsidRDefault="00D04870">
      <w:pPr>
        <w:ind w:firstLine="567"/>
        <w:rPr>
          <w:sz w:val="20"/>
          <w:szCs w:val="20"/>
          <w:lang w:val="hy-AM"/>
        </w:rPr>
      </w:pPr>
      <w:r w:rsidRPr="00FF16B1">
        <w:rPr>
          <w:sz w:val="20"/>
          <w:szCs w:val="20"/>
          <w:lang w:val="hy-AM"/>
        </w:rPr>
        <w:t>Չի ընդունվում</w:t>
      </w:r>
      <w:r w:rsidR="00865B4B" w:rsidRPr="00FF16B1">
        <w:rPr>
          <w:sz w:val="20"/>
          <w:szCs w:val="20"/>
          <w:lang w:val="hy-AM"/>
        </w:rPr>
        <w:t>,</w:t>
      </w:r>
      <w:r w:rsidRPr="00FF16B1">
        <w:rPr>
          <w:b/>
          <w:sz w:val="20"/>
          <w:szCs w:val="20"/>
          <w:lang w:val="hy-AM"/>
        </w:rPr>
        <w:t xml:space="preserve"> </w:t>
      </w:r>
      <w:r w:rsidR="00865B4B" w:rsidRPr="00FF16B1">
        <w:rPr>
          <w:sz w:val="20"/>
          <w:szCs w:val="20"/>
          <w:lang w:val="hy-AM"/>
        </w:rPr>
        <w:t>քանի որ «Տեղադրման ու գործարկման և ապրանքների ընդունման վկայականը» (“Certificate of Installation and commissioning and Goods Acceptance”) և դրա հավելվածը՝ կազմված 17.09.2018-ին, հավաստում են, որ ապրանքներն ընդունվել են հենց այդ ամսաթվին։ Եվ, ընդհակառակը, 29.08.2018-ին ապրանքների ընդունումը հավաստող որևէ փաստաթուղթ առկա չէ։</w:t>
      </w:r>
    </w:p>
    <w:p w14:paraId="3619FCAD" w14:textId="62E25B46" w:rsidR="005D44B2" w:rsidRPr="005C082A" w:rsidRDefault="00A40814" w:rsidP="00CB7FEB">
      <w:pPr>
        <w:ind w:firstLine="567"/>
        <w:rPr>
          <w:b/>
          <w:i/>
          <w:szCs w:val="24"/>
          <w:lang w:val="hy-AM"/>
        </w:rPr>
      </w:pPr>
      <w:r w:rsidRPr="005C082A">
        <w:rPr>
          <w:b/>
          <w:i/>
          <w:szCs w:val="24"/>
          <w:lang w:val="hy-AM"/>
        </w:rPr>
        <w:t>5.10</w:t>
      </w:r>
      <w:r w:rsidR="005D44B2" w:rsidRPr="005C082A">
        <w:rPr>
          <w:b/>
          <w:i/>
          <w:szCs w:val="24"/>
          <w:lang w:val="hy-AM"/>
        </w:rPr>
        <w:t>.</w:t>
      </w:r>
      <w:r w:rsidR="005D44B2" w:rsidRPr="005C082A">
        <w:rPr>
          <w:rFonts w:ascii="Calibri" w:hAnsi="Calibri" w:cs="Calibri"/>
          <w:b/>
          <w:i/>
          <w:szCs w:val="24"/>
          <w:lang w:val="hy-AM"/>
        </w:rPr>
        <w:t> </w:t>
      </w:r>
      <w:r w:rsidR="005D44B2" w:rsidRPr="005C082A">
        <w:rPr>
          <w:b/>
          <w:i/>
          <w:szCs w:val="24"/>
          <w:lang w:val="hy-AM"/>
        </w:rPr>
        <w:t>Առկա է անհամապատասխանություն «SH-LRNIP-AF-G/2018-VP» պայմանագրի «Մատակարարման</w:t>
      </w:r>
      <w:r w:rsidR="005D44B2" w:rsidRPr="005C082A">
        <w:rPr>
          <w:b/>
          <w:szCs w:val="24"/>
          <w:lang w:val="hy-AM"/>
        </w:rPr>
        <w:t xml:space="preserve"> </w:t>
      </w:r>
      <w:r w:rsidR="005D44B2" w:rsidRPr="005C082A">
        <w:rPr>
          <w:b/>
          <w:i/>
          <w:szCs w:val="24"/>
          <w:lang w:val="hy-AM"/>
        </w:rPr>
        <w:t>ժամկետները և պայմանների» հավելվածի 9-րդ կետի պահանջների հետ։</w:t>
      </w:r>
    </w:p>
    <w:p w14:paraId="1DFF37A4" w14:textId="32C757AB" w:rsidR="005D44B2" w:rsidRPr="005C082A" w:rsidRDefault="005D44B2" w:rsidP="00CB7FEB">
      <w:pPr>
        <w:ind w:firstLine="567"/>
        <w:rPr>
          <w:szCs w:val="24"/>
          <w:lang w:val="hy-AM"/>
        </w:rPr>
      </w:pPr>
      <w:r w:rsidRPr="005C082A">
        <w:rPr>
          <w:szCs w:val="24"/>
          <w:lang w:val="hy-AM"/>
        </w:rPr>
        <w:lastRenderedPageBreak/>
        <w:t>2018 թվականի օգոստոսի 4-ին կնքվել է 2 հատ մարդատար ավտոմեքենա մատակարարելու՝ «SH-LRNIP-AF-G/2018-VP» պայմանագիրը՝ 19,000.00 հազ. ՀՀ դրամ պայմանագրային գնով։ Համաձայն պայմանագրի «Մատակարարման ժամկետները և պայմանների» 1-ին կետի՝ ավտոմեքենաները պետք է մատակարարվեին մինչև 03.09.2018-ը։ Ավտոմեքենաները փաստացի մատակարարվել են 22.08.2018-ին՝ նախատեսված վերջնաժամկետից 12 օր շուտ։</w:t>
      </w:r>
    </w:p>
    <w:p w14:paraId="63064A4B" w14:textId="77777777" w:rsidR="005D44B2" w:rsidRPr="005C082A" w:rsidRDefault="005D44B2" w:rsidP="00CB7FEB">
      <w:pPr>
        <w:ind w:firstLine="567"/>
        <w:rPr>
          <w:szCs w:val="24"/>
          <w:lang w:val="hy-AM"/>
        </w:rPr>
      </w:pPr>
      <w:r w:rsidRPr="005C082A">
        <w:rPr>
          <w:szCs w:val="24"/>
          <w:lang w:val="hy-AM"/>
        </w:rPr>
        <w:t>Համաձայն «SH-LRNIP-AF-G/2018-VP» պայմանագրի 9-րդ կետի. «Մատակարարի կողմից մատակարարված ապրանքների դիմաց 100% վճարումը կիրականացվի ՀՀ դրամով՝ գումարը փոխանցելով մատակարարի բանկային հաշվին ապրանքները ստացողի կողմից ստորագրված Ընդունման գրության (որում նշված կլինի ապրանքների նկարագիրը, քանակը, մեկ միավորի գինը և ընդհանուր գումարը) և Կետ 8-ում նշված մատակարարման փաստաթղթերի ստացումից հետո ոչ ուշ քան 30 օրվա ընթացքում»։</w:t>
      </w:r>
    </w:p>
    <w:p w14:paraId="035D1689" w14:textId="53FA9B30" w:rsidR="005D44B2" w:rsidRDefault="005D44B2" w:rsidP="00CB7FEB">
      <w:pPr>
        <w:ind w:firstLine="567"/>
        <w:rPr>
          <w:szCs w:val="24"/>
          <w:lang w:val="hy-AM"/>
        </w:rPr>
      </w:pPr>
      <w:r w:rsidRPr="005C082A">
        <w:rPr>
          <w:szCs w:val="24"/>
          <w:lang w:val="hy-AM"/>
        </w:rPr>
        <w:t>«Մեքենաների հանձման-ընդունման մասին» ակտը կազմվել է 22.08.2018-ին։ Ակտը չի համապատասխանում «SH-LRNIP-AF-G/2018-VP» պայմանագրի 9-րդ կետի պահանջներին, այն է՝ դրանում նշված չեն ապրանքների նկարագիրը, մեկ միավորի գինը և ընդհանուր գումարը։ Չնայած սրան մեքենաների մատակարարման դիմաց վճարումը կատարվել է 31.08.2018թ-ին։</w:t>
      </w:r>
    </w:p>
    <w:p w14:paraId="03000D35" w14:textId="001518F2"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446AB276" w14:textId="31A5E806" w:rsidR="00ED564B" w:rsidRPr="00605A07" w:rsidRDefault="00ED564B" w:rsidP="00FF16B1">
      <w:pPr>
        <w:spacing w:before="240" w:after="0"/>
        <w:ind w:firstLine="567"/>
        <w:rPr>
          <w:b/>
          <w:sz w:val="20"/>
          <w:szCs w:val="20"/>
          <w:lang w:val="hy-AM"/>
        </w:rPr>
      </w:pPr>
      <w:r w:rsidRPr="00605A07">
        <w:rPr>
          <w:sz w:val="20"/>
          <w:szCs w:val="20"/>
          <w:lang w:val="hy-AM"/>
        </w:rPr>
        <w:t>2018թ</w:t>
      </w:r>
      <w:r w:rsidRPr="00B46B9E">
        <w:rPr>
          <w:rFonts w:ascii="Cambria Math" w:hAnsi="Cambria Math" w:cs="Cambria Math"/>
          <w:sz w:val="20"/>
          <w:szCs w:val="20"/>
          <w:lang w:val="hy-AM"/>
        </w:rPr>
        <w:t>․</w:t>
      </w:r>
      <w:r w:rsidRPr="00605A07">
        <w:rPr>
          <w:sz w:val="20"/>
          <w:szCs w:val="20"/>
          <w:lang w:val="hy-AM"/>
        </w:rPr>
        <w:t xml:space="preserve"> օգոստոսի 14-ին ՊՈԱԿ-ի  և  «ՄԵԳՆԱ» ՍՊԸ-ի միջև կնքվել է թվով 2 ավտոմեքենաների մատակարարման պայմանագիր: Մեքենաները մատակարարվել են ժամանակին, վճարումները ՊՈԱԿ-ի կողմից կատարվել են պայմանագրով սահմանված ժամկետներում մատակարարի կողմից դուրս գրված և երկողմանի ստորագրված հարկային հաշվի  համաձայն, որտեղ ապրանքի անվանումը դաշտում հստակ նշված է ապրանքների քանակը, միավորի արժեքը, նույնականացման համարը: 2018թ օգոստոսի 22-ին մեքենաները  մատակարարի կողմից հանձնվել են Գնորդին եռակողմ ստորագրված Մեքենաների հանձնման-ընդունման ակտի հիման վրա, որի առաջին կետում նշված են մեքենաների մակնիշը և քանակը, երկրորդ կետում՝ արձանագրված է, որ ընդունվող գույքը համապատասխանում է «Պայմանագրով սահմանված Ապրանքի նկարագրին և Տեխնիկական մասնագրի պահանջներին»: Ակտում նշված չէ միայն մեկ միավորի գինը և ընդհանուր գումարը:</w:t>
      </w:r>
    </w:p>
    <w:p w14:paraId="34076C1E" w14:textId="086125D2"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11F4ABD4" w14:textId="7536E117" w:rsidR="00ED564B" w:rsidRPr="00605A07" w:rsidRDefault="00ED564B" w:rsidP="00FF16B1">
      <w:pPr>
        <w:spacing w:before="240" w:after="0"/>
        <w:ind w:firstLine="567"/>
        <w:rPr>
          <w:sz w:val="20"/>
          <w:szCs w:val="20"/>
          <w:lang w:val="hy-AM"/>
        </w:rPr>
      </w:pPr>
      <w:r w:rsidRPr="00605A07">
        <w:rPr>
          <w:sz w:val="20"/>
          <w:szCs w:val="20"/>
          <w:lang w:val="hy-AM"/>
        </w:rPr>
        <w:t>Անհամապատասխանությունը չի առարկվել։</w:t>
      </w:r>
    </w:p>
    <w:p w14:paraId="25363FD7" w14:textId="25543FC0" w:rsidR="005D44B2" w:rsidRPr="005C082A" w:rsidRDefault="00A40814" w:rsidP="00CB7FEB">
      <w:pPr>
        <w:ind w:firstLine="567"/>
        <w:rPr>
          <w:b/>
          <w:i/>
          <w:szCs w:val="24"/>
          <w:lang w:val="hy-AM"/>
        </w:rPr>
      </w:pPr>
      <w:r w:rsidRPr="005C082A">
        <w:rPr>
          <w:b/>
          <w:i/>
          <w:szCs w:val="24"/>
          <w:lang w:val="hy-AM"/>
        </w:rPr>
        <w:lastRenderedPageBreak/>
        <w:t>5.11.</w:t>
      </w:r>
      <w:r w:rsidR="005D44B2" w:rsidRPr="005C082A">
        <w:rPr>
          <w:b/>
          <w:i/>
          <w:szCs w:val="24"/>
          <w:lang w:val="hy-AM"/>
        </w:rPr>
        <w:t xml:space="preserve"> Առկա է անհամապատասխանություն 01.09.2016թ-ին Խորհրդատու</w:t>
      </w:r>
      <w:r w:rsidRPr="005C082A">
        <w:rPr>
          <w:b/>
          <w:i/>
          <w:szCs w:val="24"/>
          <w:lang w:val="hy-AM"/>
        </w:rPr>
        <w:t xml:space="preserve">ի </w:t>
      </w:r>
      <w:r w:rsidR="005D44B2" w:rsidRPr="005C082A">
        <w:rPr>
          <w:b/>
          <w:i/>
          <w:szCs w:val="24"/>
          <w:lang w:val="hy-AM"/>
        </w:rPr>
        <w:t xml:space="preserve">հետ կնքած «TS-LRNIP AF Y1-2016» </w:t>
      </w:r>
      <w:r w:rsidRPr="005C082A">
        <w:rPr>
          <w:b/>
          <w:i/>
          <w:szCs w:val="24"/>
          <w:lang w:val="hy-AM"/>
        </w:rPr>
        <w:t xml:space="preserve">ՊԸՊ </w:t>
      </w:r>
      <w:r w:rsidR="005D44B2" w:rsidRPr="005C082A">
        <w:rPr>
          <w:b/>
          <w:i/>
          <w:szCs w:val="24"/>
          <w:lang w:val="hy-AM"/>
        </w:rPr>
        <w:t>28-րդ կետի 28.1 ենթակետի պահանջների հետ։ (04050118)</w:t>
      </w:r>
    </w:p>
    <w:p w14:paraId="2D3BEC2E" w14:textId="5CDC7FA9" w:rsidR="005D44B2" w:rsidRPr="005C082A" w:rsidRDefault="005D44B2" w:rsidP="00CB7FEB">
      <w:pPr>
        <w:ind w:firstLine="567"/>
        <w:rPr>
          <w:szCs w:val="24"/>
          <w:lang w:val="hy-AM"/>
        </w:rPr>
      </w:pPr>
      <w:r w:rsidRPr="005C082A">
        <w:rPr>
          <w:szCs w:val="24"/>
          <w:lang w:val="hy-AM"/>
        </w:rPr>
        <w:t xml:space="preserve">Համաձայն </w:t>
      </w:r>
      <w:r w:rsidR="00A40814" w:rsidRPr="005C082A">
        <w:rPr>
          <w:szCs w:val="24"/>
          <w:lang w:val="hy-AM"/>
        </w:rPr>
        <w:t>ՊԸՊ</w:t>
      </w:r>
      <w:r w:rsidRPr="005C082A">
        <w:rPr>
          <w:szCs w:val="24"/>
          <w:lang w:val="hy-AM"/>
        </w:rPr>
        <w:t xml:space="preserve"> 28-րդ կետի 28.1 ենթակետի՝ «Պատվիրատուի տրամադրած միջոցներով Խորհրդատուի կողմից ամբողջապես կամ մասնակի գնված սարքավորումները, մեքենաները և նյութերը հանդիսանում  են Պատվիրատուի սեփականությունը և պետք է համապատասխան ձևով մակնշված լինեն։ Պայմանագրի դադարեցման կամ ավարտի ժամանակ Խորհրդատուն պետք է Պատվիրատուին հասանելի դարձնի նման սարքավորումների, մեքենաների և նյութերի ցանկը և դրանք պետք է տնօրինի Պատվիրատուի հանձնարարականին համապատասխան»։</w:t>
      </w:r>
    </w:p>
    <w:p w14:paraId="4D394217" w14:textId="4E3E93B9" w:rsidR="00DF2A9E" w:rsidRPr="005C082A" w:rsidRDefault="005D44B2">
      <w:pPr>
        <w:ind w:firstLine="567"/>
        <w:rPr>
          <w:szCs w:val="24"/>
          <w:lang w:val="hy-AM"/>
        </w:rPr>
      </w:pPr>
      <w:r w:rsidRPr="005C082A">
        <w:rPr>
          <w:szCs w:val="24"/>
          <w:lang w:val="hy-AM"/>
        </w:rPr>
        <w:t xml:space="preserve">Համաձայն պայմանագրի «Փոխհատուցվող ծախսերի գնահատականներ» (“Reimbursable Expenses Cost Estimates”) հավելված D-ի «Փոխհատուցվող ծախսերի բացվածքը» ձև 4–ի աղյուսակի 7-րդ տողի պետք է գնվեին սարքավորումներ, գործիքներ, նյութեր և այլ պարագաներ 16.56 հազ. դոլարով։ Պայմանագրի 14.12.2017թ-ի N 4 փոփոխությամբ սահմանվել է 24.84 հազ. դոլար։ Պայմանագրի կատարման ընթացքում Փոխհատուցվող ծախսերի համար (այդ թվում սարքավորումների, գործիքների, նյութերի և այլ պարագաների համար սահմանված 24.84 հազ. դոլարը)  Պատվիրատուին ներկայացված 16 հաշիվ-ապրանքագրերով պայմանագրային ողջ գումարը վճարվել է։ Պայմանագիրն ավարտվել է 2018թ-ին։ </w:t>
      </w:r>
    </w:p>
    <w:p w14:paraId="321E23AD" w14:textId="669D2CA7" w:rsidR="005D44B2" w:rsidRDefault="005D44B2" w:rsidP="00CB7FEB">
      <w:pPr>
        <w:ind w:firstLine="567"/>
        <w:rPr>
          <w:szCs w:val="24"/>
          <w:lang w:val="hy-AM"/>
        </w:rPr>
      </w:pPr>
      <w:r w:rsidRPr="005C082A">
        <w:rPr>
          <w:szCs w:val="24"/>
          <w:lang w:val="hy-AM"/>
        </w:rPr>
        <w:t>Հաշվեքննության</w:t>
      </w:r>
      <w:r w:rsidR="00DF2A9E" w:rsidRPr="005C082A">
        <w:rPr>
          <w:szCs w:val="24"/>
          <w:lang w:val="hy-AM"/>
        </w:rPr>
        <w:t>ը</w:t>
      </w:r>
      <w:r w:rsidRPr="005C082A">
        <w:rPr>
          <w:szCs w:val="24"/>
          <w:lang w:val="hy-AM"/>
        </w:rPr>
        <w:t xml:space="preserve"> չեն </w:t>
      </w:r>
      <w:r w:rsidR="00DF2A9E" w:rsidRPr="005C082A">
        <w:rPr>
          <w:szCs w:val="24"/>
          <w:lang w:val="hy-AM"/>
        </w:rPr>
        <w:t xml:space="preserve">ներկայացվել ՊԸՊ 28.1 կետով սահմանված այդ </w:t>
      </w:r>
      <w:r w:rsidRPr="005C082A">
        <w:rPr>
          <w:szCs w:val="24"/>
          <w:lang w:val="hy-AM"/>
        </w:rPr>
        <w:t xml:space="preserve">սարքավորումների, գործիքների, նյութերի և այլ պարագաների՝ պատվիրատուին ներկայացված ցանկը և դրանց հետագա տնօրինման վերաբերյալ պատվիրատուի հանձնարարականները։ Դրանք հաշվառված չեն Նախարարության հաշվեկշռում։ </w:t>
      </w:r>
    </w:p>
    <w:p w14:paraId="417A6580" w14:textId="15134B5F"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4D0EEF1C" w14:textId="77777777" w:rsidR="00863161" w:rsidRPr="00605A07" w:rsidRDefault="00863161">
      <w:pPr>
        <w:ind w:firstLine="567"/>
        <w:rPr>
          <w:sz w:val="20"/>
          <w:szCs w:val="20"/>
          <w:lang w:val="hy-AM"/>
        </w:rPr>
      </w:pPr>
      <w:r w:rsidRPr="00605A07">
        <w:rPr>
          <w:sz w:val="20"/>
          <w:szCs w:val="20"/>
          <w:lang w:val="hy-AM"/>
        </w:rPr>
        <w:t xml:space="preserve">Պայմանագրի համաձայն, «Փոխհատուցվող ծախսերի </w:t>
      </w:r>
      <w:r w:rsidRPr="00605A07">
        <w:rPr>
          <w:b/>
          <w:bCs/>
          <w:sz w:val="20"/>
          <w:szCs w:val="20"/>
          <w:lang w:val="hy-AM"/>
        </w:rPr>
        <w:t>նախահաշիվներ</w:t>
      </w:r>
      <w:r w:rsidRPr="00605A07">
        <w:rPr>
          <w:sz w:val="20"/>
          <w:szCs w:val="20"/>
          <w:lang w:val="hy-AM"/>
        </w:rPr>
        <w:t>» (“Reimbursable Expenses Cost Estimates”) հավելված D-ի «Ձև 4</w:t>
      </w:r>
      <w:r w:rsidRPr="00605A07">
        <w:rPr>
          <w:rFonts w:ascii="Cambria Math" w:hAnsi="Cambria Math" w:cs="Cambria Math"/>
          <w:sz w:val="20"/>
          <w:szCs w:val="20"/>
          <w:lang w:val="hy-AM"/>
        </w:rPr>
        <w:t>․</w:t>
      </w:r>
      <w:r w:rsidRPr="00605A07">
        <w:rPr>
          <w:sz w:val="20"/>
          <w:szCs w:val="20"/>
          <w:lang w:val="hy-AM"/>
        </w:rPr>
        <w:t xml:space="preserve"> Փոխհատուցվող ծախսերի բացվածքը» աղյուսակի 7-րդ տողում նախատեսված է եղել  փոխահատուցում «</w:t>
      </w:r>
      <w:r w:rsidRPr="00605A07">
        <w:rPr>
          <w:sz w:val="20"/>
          <w:szCs w:val="20"/>
          <w:u w:val="single"/>
          <w:lang w:val="hy-AM"/>
        </w:rPr>
        <w:t>սարքավորումներ, գործիքներ, նյութեր, մատակարարումներ և հաշվետվությունների թողարկում</w:t>
      </w:r>
      <w:r w:rsidRPr="00605A07">
        <w:rPr>
          <w:sz w:val="20"/>
          <w:szCs w:val="20"/>
          <w:lang w:val="hy-AM"/>
        </w:rPr>
        <w:t xml:space="preserve">» ծախսերի համար՝ 12 </w:t>
      </w:r>
      <w:r w:rsidRPr="00605A07">
        <w:rPr>
          <w:b/>
          <w:bCs/>
          <w:sz w:val="20"/>
          <w:szCs w:val="20"/>
          <w:lang w:val="hy-AM"/>
        </w:rPr>
        <w:t>ԱՄԻՍ</w:t>
      </w:r>
      <w:r w:rsidRPr="00605A07">
        <w:rPr>
          <w:sz w:val="20"/>
          <w:szCs w:val="20"/>
          <w:lang w:val="hy-AM"/>
        </w:rPr>
        <w:t xml:space="preserve"> ընդհանուր 16,56 հազ</w:t>
      </w:r>
      <w:r w:rsidRPr="00605A07">
        <w:rPr>
          <w:rFonts w:ascii="Cambria Math" w:hAnsi="Cambria Math" w:cs="Cambria Math"/>
          <w:sz w:val="20"/>
          <w:szCs w:val="20"/>
          <w:lang w:val="hy-AM"/>
        </w:rPr>
        <w:t>․</w:t>
      </w:r>
      <w:r w:rsidRPr="00605A07">
        <w:rPr>
          <w:sz w:val="20"/>
          <w:szCs w:val="20"/>
          <w:lang w:val="hy-AM"/>
        </w:rPr>
        <w:t xml:space="preserve"> դոլար արժեքով (հետագայում, պայմանագրի փոփոխությամբ՝ 15 ԱՄԻՍ ընդհանուր 24,84 հազ</w:t>
      </w:r>
      <w:r w:rsidRPr="00605A07">
        <w:rPr>
          <w:rFonts w:ascii="Cambria Math" w:hAnsi="Cambria Math" w:cs="Cambria Math"/>
          <w:sz w:val="20"/>
          <w:szCs w:val="20"/>
          <w:lang w:val="hy-AM"/>
        </w:rPr>
        <w:t>․</w:t>
      </w:r>
      <w:r w:rsidRPr="00605A07">
        <w:rPr>
          <w:sz w:val="20"/>
          <w:szCs w:val="20"/>
          <w:lang w:val="hy-AM"/>
        </w:rPr>
        <w:t xml:space="preserve"> դոլար արժեքով), ոչ թե  «12 ՀԱՏ սարքավորումների, գործիքների, նյութերի և այլ պարագաների» գնումներ (հետագայում, պայմանագրի փոփոխությամբ՝ 15 ՀԱՏ ընդհանուր 24,84 հազ</w:t>
      </w:r>
      <w:r w:rsidRPr="00605A07">
        <w:rPr>
          <w:rFonts w:ascii="Cambria Math" w:hAnsi="Cambria Math" w:cs="Cambria Math"/>
          <w:sz w:val="20"/>
          <w:szCs w:val="20"/>
          <w:lang w:val="hy-AM"/>
        </w:rPr>
        <w:t>․</w:t>
      </w:r>
      <w:r w:rsidRPr="00605A07">
        <w:rPr>
          <w:sz w:val="20"/>
          <w:szCs w:val="20"/>
          <w:lang w:val="hy-AM"/>
        </w:rPr>
        <w:t xml:space="preserve"> դոլար արժեքով)։</w:t>
      </w:r>
    </w:p>
    <w:p w14:paraId="5648DAE3" w14:textId="77777777" w:rsidR="00863161" w:rsidRPr="00605A07" w:rsidRDefault="00863161">
      <w:pPr>
        <w:ind w:firstLine="567"/>
        <w:rPr>
          <w:sz w:val="20"/>
          <w:szCs w:val="20"/>
          <w:lang w:val="hy-AM"/>
        </w:rPr>
      </w:pPr>
      <w:r w:rsidRPr="00605A07">
        <w:rPr>
          <w:sz w:val="20"/>
          <w:szCs w:val="20"/>
          <w:lang w:val="hy-AM"/>
        </w:rPr>
        <w:lastRenderedPageBreak/>
        <w:t>Պայմանագրի մաս կազմող հավելվածի նշված տողը չի հանդիսանում բացառապես սարքավորումների, նյութերի, գործիքների գնում, այլ ի թիվս այլ ծախսերի՝ ենթադրում է նաև խորհրդատուի աշխատանքներն իրականացնելու նպատակով որոշակի ծառայությունների մատուցման/մատակարարման և նմանատիպ բնույթի ծախսերի փոխհատուցում։</w:t>
      </w:r>
    </w:p>
    <w:p w14:paraId="203F43BF" w14:textId="2211EBC8" w:rsidR="00863161" w:rsidRPr="00605A07" w:rsidRDefault="00863161" w:rsidP="00FF16B1">
      <w:pPr>
        <w:ind w:firstLine="567"/>
        <w:rPr>
          <w:b/>
          <w:sz w:val="20"/>
          <w:szCs w:val="20"/>
          <w:lang w:val="hy-AM"/>
        </w:rPr>
      </w:pPr>
      <w:r w:rsidRPr="00605A07">
        <w:rPr>
          <w:sz w:val="20"/>
          <w:szCs w:val="20"/>
          <w:lang w:val="hy-AM"/>
        </w:rPr>
        <w:t xml:space="preserve">Անհրաժեշտ է նշել, որ խորհրդատուն իր վճարման պահանջագրերի հետ միասին ներկայացրել է նաև տրանսպորտային միջոցի վարձակալման պայմանագիր՝ յուրաքանչյուր ամսվա համար 765 հազ ՀՀ դրամ արժեքով։ </w:t>
      </w:r>
    </w:p>
    <w:p w14:paraId="0F94B931" w14:textId="2E0D2BB7"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5A57650D" w14:textId="3CB68872" w:rsidR="00B01F1B" w:rsidRPr="00FF16B1" w:rsidRDefault="00863161" w:rsidP="00FF16B1">
      <w:pPr>
        <w:ind w:firstLine="567"/>
        <w:rPr>
          <w:sz w:val="20"/>
          <w:szCs w:val="20"/>
          <w:lang w:val="hy-AM"/>
        </w:rPr>
      </w:pPr>
      <w:r w:rsidRPr="00605A07">
        <w:rPr>
          <w:sz w:val="20"/>
          <w:szCs w:val="20"/>
          <w:lang w:val="hy-AM"/>
        </w:rPr>
        <w:t xml:space="preserve">Չի ընդունվում քանի որ </w:t>
      </w:r>
      <w:r w:rsidR="00B01F1B" w:rsidRPr="00FF16B1">
        <w:rPr>
          <w:sz w:val="20"/>
          <w:szCs w:val="20"/>
          <w:lang w:val="hy-AM"/>
        </w:rPr>
        <w:t>հաշվեքննության օբյեկտը հղում չի կատարել պայմանագրի որևէ կիրառելի դրույթի, որով կարող էր հիմնավորվել՝ «Պայմանագրի մաս կազմող հավելվածի նշված տողը չի հանդիսանում բացառապես սարքավորումների, նյութերի, գործիքների գնում, այլ ի թիվս այլ ծախսերի՝ ենթադրում է նաև խորհրդատուի աշխատանքներն իրականացնելու նպատակով որոշակի ծառայությունների մատուցման/մատակարարման և նմանատիպ բնույթի ծախսերի փոխհատուցում։» լրացուցիչ ծառայությունների և դրանց փոխհատուցման վերաբերյալ արված ենթադրությունը։</w:t>
      </w:r>
    </w:p>
    <w:p w14:paraId="494B6C9A" w14:textId="5CB61E02" w:rsidR="005D44B2" w:rsidRPr="005C082A" w:rsidRDefault="00A40814" w:rsidP="00B01F1B">
      <w:pPr>
        <w:spacing w:line="240" w:lineRule="auto"/>
        <w:ind w:firstLine="567"/>
        <w:rPr>
          <w:rFonts w:cs="Sylfaen"/>
          <w:b/>
          <w:i/>
          <w:szCs w:val="24"/>
          <w:lang w:val="hy-AM"/>
        </w:rPr>
      </w:pPr>
      <w:r w:rsidRPr="005C082A">
        <w:rPr>
          <w:b/>
          <w:i/>
          <w:szCs w:val="24"/>
          <w:lang w:val="hy-AM"/>
        </w:rPr>
        <w:t>5.12</w:t>
      </w:r>
      <w:r w:rsidR="005D44B2" w:rsidRPr="005C082A">
        <w:rPr>
          <w:b/>
          <w:i/>
          <w:szCs w:val="24"/>
          <w:lang w:val="hy-AM"/>
        </w:rPr>
        <w:t>. Առկա է անհամապատասխանություն</w:t>
      </w:r>
      <w:r w:rsidR="005D44B2" w:rsidRPr="005C082A">
        <w:rPr>
          <w:i/>
          <w:szCs w:val="24"/>
          <w:lang w:val="hy-AM"/>
        </w:rPr>
        <w:t xml:space="preserve"> </w:t>
      </w:r>
      <w:r w:rsidR="005D44B2" w:rsidRPr="005C082A">
        <w:rPr>
          <w:b/>
          <w:i/>
          <w:szCs w:val="24"/>
          <w:lang w:val="hy-AM"/>
        </w:rPr>
        <w:t>CW-NCB-LRNIP-AF-2016/8 պայմանագրի Հատոր II Տեխնիկական 005.01. d) ենթակետի և 005.05 կետի</w:t>
      </w:r>
      <w:r w:rsidR="005D44B2" w:rsidRPr="005C082A">
        <w:rPr>
          <w:rFonts w:cs="Calibri,Bold"/>
          <w:b/>
          <w:bCs/>
          <w:i/>
          <w:szCs w:val="24"/>
          <w:lang w:val="hy-AM"/>
        </w:rPr>
        <w:t xml:space="preserve"> պահանջի հետ։ (04050118)</w:t>
      </w:r>
    </w:p>
    <w:p w14:paraId="6D923818" w14:textId="249B701D" w:rsidR="005D44B2" w:rsidRPr="005C082A" w:rsidRDefault="005D44B2" w:rsidP="00CB7FEB">
      <w:pPr>
        <w:autoSpaceDE w:val="0"/>
        <w:autoSpaceDN w:val="0"/>
        <w:adjustRightInd w:val="0"/>
        <w:spacing w:after="0"/>
        <w:ind w:firstLine="567"/>
        <w:rPr>
          <w:rFonts w:cs="Calibri,Bold"/>
          <w:bCs/>
          <w:szCs w:val="24"/>
          <w:lang w:val="hy-AM"/>
        </w:rPr>
      </w:pPr>
      <w:r w:rsidRPr="005C082A">
        <w:rPr>
          <w:rFonts w:cs="Calibri,Bold"/>
          <w:bCs/>
          <w:szCs w:val="24"/>
          <w:lang w:val="hy-AM"/>
        </w:rPr>
        <w:t>Համաձայն 005.05 կետի պահանջի լաբորատոր հետազոտության պետք է ե</w:t>
      </w:r>
      <w:r w:rsidR="00196A1F">
        <w:rPr>
          <w:rFonts w:cs="Calibri,Bold"/>
          <w:bCs/>
          <w:szCs w:val="24"/>
          <w:lang w:val="hy-AM"/>
        </w:rPr>
        <w:t>ն</w:t>
      </w:r>
      <w:r w:rsidRPr="005C082A">
        <w:rPr>
          <w:rFonts w:cs="Calibri,Bold"/>
          <w:bCs/>
          <w:szCs w:val="24"/>
          <w:lang w:val="hy-AM"/>
        </w:rPr>
        <w:t xml:space="preserve">թարկվի վերին և ներքին շերտի ասֆալտբետոնի խառնուրդի և </w:t>
      </w:r>
      <w:r w:rsidRPr="005C082A">
        <w:rPr>
          <w:rFonts w:cs="Sylfaen"/>
          <w:szCs w:val="24"/>
          <w:lang w:val="hy-AM"/>
        </w:rPr>
        <w:t>չխտացված բիտումով մշակված մանրահատիկ խճավազային խառնուրդի</w:t>
      </w:r>
    </w:p>
    <w:p w14:paraId="1D7EDCFE" w14:textId="77777777" w:rsidR="005D44B2" w:rsidRPr="005C082A" w:rsidRDefault="005D44B2" w:rsidP="00CB7FEB">
      <w:pPr>
        <w:autoSpaceDE w:val="0"/>
        <w:autoSpaceDN w:val="0"/>
        <w:adjustRightInd w:val="0"/>
        <w:spacing w:after="0"/>
        <w:ind w:firstLine="567"/>
        <w:rPr>
          <w:rFonts w:cs="Sylfaen"/>
          <w:szCs w:val="24"/>
          <w:lang w:val="hy-AM"/>
        </w:rPr>
      </w:pPr>
      <w:r w:rsidRPr="005C082A">
        <w:rPr>
          <w:rFonts w:cs="Calibri,Bold"/>
          <w:bCs/>
          <w:szCs w:val="24"/>
          <w:lang w:val="hy-AM"/>
        </w:rPr>
        <w:t xml:space="preserve">- </w:t>
      </w:r>
      <w:r w:rsidRPr="005C082A">
        <w:rPr>
          <w:rFonts w:cs="Sylfaen"/>
          <w:szCs w:val="24"/>
          <w:lang w:val="hy-AM"/>
        </w:rPr>
        <w:t>տեղադրված, բայց չխտացված ծածկից օրական մեկ նմուշ և, 500 տոննայից ավելիի դեպքում, մեկ նմուշ յուրաքանչյուր 500 տոննայից:</w:t>
      </w:r>
    </w:p>
    <w:p w14:paraId="26F0C1E2" w14:textId="77777777" w:rsidR="005D44B2" w:rsidRPr="005C082A" w:rsidRDefault="005D44B2" w:rsidP="00CB7FEB">
      <w:pPr>
        <w:autoSpaceDE w:val="0"/>
        <w:autoSpaceDN w:val="0"/>
        <w:adjustRightInd w:val="0"/>
        <w:spacing w:after="0"/>
        <w:ind w:firstLine="567"/>
        <w:rPr>
          <w:rFonts w:cs="Sylfaen"/>
          <w:szCs w:val="24"/>
          <w:lang w:val="hy-AM"/>
        </w:rPr>
      </w:pPr>
      <w:r w:rsidRPr="005C082A">
        <w:rPr>
          <w:rFonts w:cs="Sylfaen"/>
          <w:szCs w:val="24"/>
          <w:lang w:val="hy-AM"/>
        </w:rPr>
        <w:t>- Ասֆալտբետոնե խառնուրդի պատրաստման գործարանից՝ մեկ նմուշ յուրաքանչուր 500տ-ից։</w:t>
      </w:r>
    </w:p>
    <w:p w14:paraId="7D4ACB1F" w14:textId="5A08E2D1" w:rsidR="005D44B2" w:rsidRPr="005C082A" w:rsidRDefault="005D44B2" w:rsidP="00CB7FEB">
      <w:pPr>
        <w:autoSpaceDE w:val="0"/>
        <w:autoSpaceDN w:val="0"/>
        <w:adjustRightInd w:val="0"/>
        <w:spacing w:after="0"/>
        <w:ind w:firstLine="567"/>
        <w:rPr>
          <w:rFonts w:cs="Sylfaen"/>
          <w:szCs w:val="24"/>
          <w:lang w:val="hy-AM"/>
        </w:rPr>
      </w:pPr>
      <w:r w:rsidRPr="005C082A">
        <w:rPr>
          <w:rFonts w:cs="Sylfaen"/>
          <w:szCs w:val="24"/>
          <w:lang w:val="hy-AM"/>
        </w:rPr>
        <w:t xml:space="preserve">Համաձայն 005.01. </w:t>
      </w:r>
      <w:r w:rsidRPr="005C082A">
        <w:rPr>
          <w:szCs w:val="24"/>
          <w:lang w:val="hy-AM"/>
        </w:rPr>
        <w:t>d) ենթակետի</w:t>
      </w:r>
      <w:r w:rsidRPr="005C082A">
        <w:rPr>
          <w:b/>
          <w:szCs w:val="24"/>
          <w:lang w:val="hy-AM"/>
        </w:rPr>
        <w:t xml:space="preserve"> </w:t>
      </w:r>
      <w:r w:rsidRPr="00650A93">
        <w:rPr>
          <w:szCs w:val="24"/>
          <w:lang w:val="hy-AM"/>
        </w:rPr>
        <w:t>ն</w:t>
      </w:r>
      <w:r w:rsidRPr="003810E9">
        <w:rPr>
          <w:rFonts w:cs="Sylfaen"/>
          <w:szCs w:val="24"/>
          <w:lang w:val="hy-AM"/>
        </w:rPr>
        <w:t>ախքան</w:t>
      </w:r>
      <w:r w:rsidRPr="005C082A">
        <w:rPr>
          <w:rFonts w:cs="Sylfaen"/>
          <w:szCs w:val="24"/>
          <w:lang w:val="hy-AM"/>
        </w:rPr>
        <w:t xml:space="preserve"> աշխատանքներն սկսելը </w:t>
      </w:r>
      <w:r w:rsidR="004A534C" w:rsidRPr="005C082A">
        <w:rPr>
          <w:rFonts w:cs="Sylfaen"/>
          <w:szCs w:val="24"/>
          <w:lang w:val="hy-AM"/>
        </w:rPr>
        <w:t xml:space="preserve">Ծրագրի ղեկավարը </w:t>
      </w:r>
      <w:r w:rsidRPr="005C082A">
        <w:rPr>
          <w:rFonts w:cs="Sylfaen"/>
          <w:szCs w:val="24"/>
          <w:lang w:val="hy-AM"/>
        </w:rPr>
        <w:t xml:space="preserve">պետք է ստուգի առաջարկվող լաբորատորիան, որպեսզի ապահովի Կապալառուի գործունեության համապատասխանությունը այս Մասնագրերին: Այն դեպքում, երբ հայտնաբերվի, որ Կապալառուն Պայմանագրի ժամանակաշրջանի ընթացքում որևէ ժամանակ չի կատարում սույն Մասնագրերի պահանջները, </w:t>
      </w:r>
      <w:r w:rsidR="004A534C" w:rsidRPr="005C082A">
        <w:rPr>
          <w:rFonts w:cs="Sylfaen"/>
          <w:szCs w:val="24"/>
          <w:lang w:val="hy-AM"/>
        </w:rPr>
        <w:t xml:space="preserve">Ծրագրի ղեկավարը </w:t>
      </w:r>
      <w:r w:rsidRPr="005C082A">
        <w:rPr>
          <w:rFonts w:cs="Sylfaen"/>
          <w:szCs w:val="24"/>
          <w:lang w:val="hy-AM"/>
        </w:rPr>
        <w:t>կարող է կարգադրել ստորև նշվածներից որևէ մեկը կամ բոլորը.</w:t>
      </w:r>
    </w:p>
    <w:p w14:paraId="395F642A" w14:textId="53377134" w:rsidR="005D44B2" w:rsidRPr="005C082A" w:rsidRDefault="000D41BE" w:rsidP="000D41BE">
      <w:pPr>
        <w:autoSpaceDE w:val="0"/>
        <w:autoSpaceDN w:val="0"/>
        <w:adjustRightInd w:val="0"/>
        <w:spacing w:after="0"/>
        <w:ind w:left="567" w:firstLine="0"/>
        <w:rPr>
          <w:rFonts w:cs="Sylfaen"/>
          <w:szCs w:val="24"/>
          <w:lang w:val="hy-AM"/>
        </w:rPr>
      </w:pPr>
      <w:r w:rsidRPr="005C082A">
        <w:rPr>
          <w:rFonts w:cs="Calibri"/>
          <w:szCs w:val="24"/>
          <w:lang w:val="hy-AM"/>
        </w:rPr>
        <w:t>1.</w:t>
      </w:r>
      <w:r w:rsidRPr="005C082A">
        <w:rPr>
          <w:rFonts w:ascii="Calibri" w:hAnsi="Calibri" w:cs="Calibri"/>
          <w:szCs w:val="24"/>
          <w:lang w:val="hy-AM"/>
        </w:rPr>
        <w:t> </w:t>
      </w:r>
      <w:r w:rsidR="005D44B2" w:rsidRPr="005C082A">
        <w:rPr>
          <w:rFonts w:cs="Sylfaen"/>
          <w:szCs w:val="24"/>
          <w:lang w:val="hy-AM"/>
        </w:rPr>
        <w:t>Բոլոր աշխատանքների դադարեցում, մինչև ձեռք բերվի համապատասխանություն Մասնագրերին:</w:t>
      </w:r>
    </w:p>
    <w:p w14:paraId="5D98819D" w14:textId="5A00D7F6" w:rsidR="005D44B2" w:rsidRPr="005C082A" w:rsidRDefault="000D41BE" w:rsidP="000D41BE">
      <w:pPr>
        <w:autoSpaceDE w:val="0"/>
        <w:autoSpaceDN w:val="0"/>
        <w:adjustRightInd w:val="0"/>
        <w:spacing w:after="0"/>
        <w:ind w:left="567" w:firstLine="0"/>
        <w:rPr>
          <w:rFonts w:cs="Sylfaen"/>
          <w:szCs w:val="24"/>
          <w:lang w:val="hy-AM"/>
        </w:rPr>
      </w:pPr>
      <w:r w:rsidRPr="005C082A">
        <w:rPr>
          <w:rFonts w:cs="Calibri"/>
          <w:szCs w:val="24"/>
          <w:lang w:val="hy-AM"/>
        </w:rPr>
        <w:lastRenderedPageBreak/>
        <w:t>2.</w:t>
      </w:r>
      <w:r w:rsidRPr="005C082A">
        <w:rPr>
          <w:rFonts w:ascii="Calibri" w:hAnsi="Calibri" w:cs="Calibri"/>
          <w:szCs w:val="24"/>
          <w:lang w:val="hy-AM"/>
        </w:rPr>
        <w:t> </w:t>
      </w:r>
      <w:r w:rsidR="005D44B2" w:rsidRPr="005C082A">
        <w:rPr>
          <w:rFonts w:cs="Sylfaen"/>
          <w:szCs w:val="24"/>
          <w:lang w:val="hy-AM"/>
        </w:rPr>
        <w:t>Աշխատանքների որևէ մասի կամ փուլի դադարեցում, մինչև ձեռք բերվի</w:t>
      </w:r>
      <w:r w:rsidR="00A40814" w:rsidRPr="005C082A">
        <w:rPr>
          <w:rFonts w:cs="Sylfaen"/>
          <w:szCs w:val="24"/>
          <w:lang w:val="hy-AM"/>
        </w:rPr>
        <w:t xml:space="preserve"> </w:t>
      </w:r>
      <w:r w:rsidR="005D44B2" w:rsidRPr="005C082A">
        <w:rPr>
          <w:rFonts w:cs="Sylfaen"/>
          <w:szCs w:val="24"/>
          <w:lang w:val="hy-AM"/>
        </w:rPr>
        <w:t>համապատասխանություն Մասնագրերին:</w:t>
      </w:r>
    </w:p>
    <w:p w14:paraId="3EB15301" w14:textId="2435B2AF" w:rsidR="005D44B2" w:rsidRPr="005C082A" w:rsidRDefault="000D41BE" w:rsidP="000D41BE">
      <w:pPr>
        <w:autoSpaceDE w:val="0"/>
        <w:autoSpaceDN w:val="0"/>
        <w:adjustRightInd w:val="0"/>
        <w:spacing w:after="0"/>
        <w:ind w:left="567" w:firstLine="0"/>
        <w:rPr>
          <w:b/>
          <w:szCs w:val="24"/>
          <w:lang w:val="hy-AM"/>
        </w:rPr>
      </w:pPr>
      <w:r w:rsidRPr="005C082A">
        <w:rPr>
          <w:rFonts w:cs="Calibri"/>
          <w:szCs w:val="24"/>
          <w:lang w:val="hy-AM"/>
        </w:rPr>
        <w:t>3.</w:t>
      </w:r>
      <w:r w:rsidRPr="005C082A">
        <w:rPr>
          <w:rFonts w:ascii="Calibri" w:hAnsi="Calibri" w:cs="Calibri"/>
          <w:szCs w:val="24"/>
          <w:lang w:val="hy-AM"/>
        </w:rPr>
        <w:t> </w:t>
      </w:r>
      <w:r w:rsidR="005D44B2" w:rsidRPr="005C082A">
        <w:rPr>
          <w:rFonts w:cs="Sylfaen"/>
          <w:szCs w:val="24"/>
          <w:lang w:val="hy-AM"/>
        </w:rPr>
        <w:t>Տուգանքի գնահատում յուրաքանչյուր օրվա համար, որի ժամանակ Մասնագրերի համապատասխանություն չի եղել. տուգանքը պետք է սկսի գործել այդպիսի անհամապատասխանության մասին ծանուցելուց 7 օր հետո:</w:t>
      </w:r>
    </w:p>
    <w:p w14:paraId="33CA2794" w14:textId="3EF211F6" w:rsidR="005D44B2" w:rsidRDefault="005D44B2" w:rsidP="00CB7FEB">
      <w:pPr>
        <w:ind w:firstLine="567"/>
        <w:rPr>
          <w:szCs w:val="24"/>
          <w:lang w:val="hy-AM"/>
        </w:rPr>
      </w:pPr>
      <w:r w:rsidRPr="005C082A">
        <w:rPr>
          <w:szCs w:val="24"/>
          <w:lang w:val="hy-AM"/>
        </w:rPr>
        <w:t>Համաձայն թաքնված աշխատանքների ակտերի 25.07.2017թ, 28.07.2017թ, 30.07.2017թ, 15.08.2017թ, 19.08.2017թ, 08.09.2017թ, 28.09.2017թ, 29.09.2017թ և 28.10.2017թ իրականացվել են 10011քմ 3% բիտումով մշակված խճավազային խառնուրդի տեղադրման աշխատանքներ և 28.07.2017թ-ին 3437 քմ 3սմ հաստությամբ ասֆալտբետոնե խառնուրդով հարթեցնող շերտի տեղադրման աշխատանքներ առանց տեխնիկական մասնագրով պահանջվող լաբորատոր հետազոտությունների</w:t>
      </w:r>
      <w:r w:rsidR="00A40814" w:rsidRPr="005C082A">
        <w:rPr>
          <w:szCs w:val="24"/>
          <w:lang w:val="hy-AM"/>
        </w:rPr>
        <w:t>,</w:t>
      </w:r>
      <w:r w:rsidRPr="005C082A">
        <w:rPr>
          <w:szCs w:val="24"/>
          <w:lang w:val="hy-AM"/>
        </w:rPr>
        <w:t xml:space="preserve"> սակայն </w:t>
      </w:r>
      <w:r w:rsidR="004A534C" w:rsidRPr="005C082A">
        <w:rPr>
          <w:szCs w:val="24"/>
          <w:lang w:val="hy-AM"/>
        </w:rPr>
        <w:t xml:space="preserve">Ծրագրի ղեկավարի </w:t>
      </w:r>
      <w:r w:rsidRPr="005C082A">
        <w:rPr>
          <w:szCs w:val="24"/>
          <w:lang w:val="hy-AM"/>
        </w:rPr>
        <w:t xml:space="preserve">կողմից չի կատարվել Մասնագրի </w:t>
      </w:r>
      <w:r w:rsidRPr="005C082A">
        <w:rPr>
          <w:rFonts w:cs="Sylfaen"/>
          <w:szCs w:val="24"/>
          <w:lang w:val="hy-AM"/>
        </w:rPr>
        <w:t xml:space="preserve">005.01. </w:t>
      </w:r>
      <w:r w:rsidRPr="005C082A">
        <w:rPr>
          <w:szCs w:val="24"/>
          <w:lang w:val="hy-AM"/>
        </w:rPr>
        <w:t xml:space="preserve">d) կետով սահմանված պահանջներից </w:t>
      </w:r>
      <w:r w:rsidR="00A40814" w:rsidRPr="005C082A">
        <w:rPr>
          <w:szCs w:val="24"/>
          <w:lang w:val="hy-AM"/>
        </w:rPr>
        <w:t xml:space="preserve">ոչ </w:t>
      </w:r>
      <w:r w:rsidRPr="005C082A">
        <w:rPr>
          <w:szCs w:val="24"/>
          <w:lang w:val="hy-AM"/>
        </w:rPr>
        <w:t xml:space="preserve">մեկը։ </w:t>
      </w:r>
    </w:p>
    <w:p w14:paraId="5A244E83" w14:textId="10EC52BA"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15AD4455" w14:textId="77777777" w:rsidR="00AE48C3" w:rsidRPr="00605A07" w:rsidRDefault="00AE48C3">
      <w:pPr>
        <w:ind w:firstLine="567"/>
        <w:rPr>
          <w:sz w:val="20"/>
          <w:szCs w:val="20"/>
          <w:lang w:val="hy-AM"/>
        </w:rPr>
      </w:pPr>
      <w:r w:rsidRPr="00605A07">
        <w:rPr>
          <w:sz w:val="20"/>
          <w:szCs w:val="20"/>
          <w:lang w:val="hy-AM"/>
        </w:rPr>
        <w:t>Նշված փաստաթղթերի բացակայությունը կամ առկայութունը ստուգելու և համապատասխան դիքորոշում/պարզաբանում հայտնելու համար անհրաժեշտ է լրացուցիչ ժամանակ։</w:t>
      </w:r>
    </w:p>
    <w:p w14:paraId="552E722D" w14:textId="1D45B13D" w:rsidR="00AE48C3" w:rsidRPr="00605A07" w:rsidRDefault="00AE48C3">
      <w:pPr>
        <w:ind w:firstLine="567"/>
        <w:rPr>
          <w:b/>
          <w:sz w:val="20"/>
          <w:szCs w:val="20"/>
          <w:lang w:val="hy-AM"/>
        </w:rPr>
      </w:pPr>
      <w:r w:rsidRPr="00605A07">
        <w:rPr>
          <w:sz w:val="20"/>
          <w:szCs w:val="20"/>
          <w:lang w:val="hy-AM"/>
        </w:rPr>
        <w:t xml:space="preserve">Այնուամենայնիվ, Ինժեների կողմից Մասնագրերի նշված կետի կիրառումը պարտավորություն չի ենթադրում (նշված է, որ </w:t>
      </w:r>
      <w:r w:rsidRPr="00605A07">
        <w:rPr>
          <w:b/>
          <w:bCs/>
          <w:i/>
          <w:iCs/>
          <w:sz w:val="20"/>
          <w:szCs w:val="20"/>
          <w:u w:val="single"/>
          <w:lang w:val="hy-AM"/>
        </w:rPr>
        <w:t>կարող է</w:t>
      </w:r>
      <w:r w:rsidRPr="00605A07">
        <w:rPr>
          <w:sz w:val="20"/>
          <w:szCs w:val="20"/>
          <w:lang w:val="hy-AM"/>
        </w:rPr>
        <w:t xml:space="preserve"> կարգադրել </w:t>
      </w:r>
      <w:r w:rsidRPr="00B46B9E">
        <w:rPr>
          <w:rFonts w:ascii="Cambria Math" w:hAnsi="Cambria Math" w:cs="Cambria Math"/>
          <w:sz w:val="20"/>
          <w:szCs w:val="20"/>
          <w:lang w:val="hy-AM"/>
        </w:rPr>
        <w:t>․․․</w:t>
      </w:r>
      <w:r w:rsidRPr="00605A07">
        <w:rPr>
          <w:sz w:val="20"/>
          <w:szCs w:val="20"/>
          <w:lang w:val="hy-AM"/>
        </w:rPr>
        <w:t>)։</w:t>
      </w:r>
    </w:p>
    <w:p w14:paraId="3DE4EDAD" w14:textId="2C22A3DA"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396CD089" w14:textId="59DD3E71" w:rsidR="00ED17BA" w:rsidRPr="00FF16B1" w:rsidRDefault="00ED17BA" w:rsidP="00FF16B1">
      <w:pPr>
        <w:pStyle w:val="CommentText"/>
        <w:spacing w:line="276" w:lineRule="auto"/>
        <w:ind w:firstLine="567"/>
        <w:rPr>
          <w:color w:val="auto"/>
          <w:sz w:val="20"/>
          <w:lang w:val="hy-AM"/>
        </w:rPr>
      </w:pPr>
      <w:r w:rsidRPr="00FF16B1">
        <w:rPr>
          <w:color w:val="auto"/>
          <w:sz w:val="20"/>
          <w:lang w:val="hy-AM"/>
        </w:rPr>
        <w:t xml:space="preserve">Չի ընդունվում քանի որ Մասնագրերեի </w:t>
      </w:r>
      <w:r w:rsidRPr="00FF16B1">
        <w:rPr>
          <w:rFonts w:cs="Sylfaen"/>
          <w:color w:val="auto"/>
          <w:sz w:val="20"/>
          <w:lang w:val="hy-AM"/>
        </w:rPr>
        <w:t xml:space="preserve">005.01. </w:t>
      </w:r>
      <w:r w:rsidRPr="00FF16B1">
        <w:rPr>
          <w:color w:val="auto"/>
          <w:sz w:val="20"/>
          <w:lang w:val="hy-AM"/>
        </w:rPr>
        <w:t>d) կետում «կարող է»-ն ծագում է սկզբում նշված՝ «պետք է»-ից հետո։</w:t>
      </w:r>
    </w:p>
    <w:p w14:paraId="29AACA28" w14:textId="51B60F2D" w:rsidR="005D44B2" w:rsidRPr="005C082A" w:rsidRDefault="00A40814" w:rsidP="00CB7FEB">
      <w:pPr>
        <w:ind w:firstLine="567"/>
        <w:rPr>
          <w:b/>
          <w:i/>
          <w:szCs w:val="24"/>
          <w:lang w:val="hy-AM"/>
        </w:rPr>
      </w:pPr>
      <w:r w:rsidRPr="005C082A">
        <w:rPr>
          <w:b/>
          <w:i/>
          <w:szCs w:val="24"/>
          <w:lang w:val="hy-AM"/>
        </w:rPr>
        <w:t>5.13</w:t>
      </w:r>
      <w:r w:rsidR="005D44B2" w:rsidRPr="005C082A">
        <w:rPr>
          <w:b/>
          <w:i/>
          <w:szCs w:val="24"/>
          <w:lang w:val="hy-AM"/>
        </w:rPr>
        <w:t xml:space="preserve">. Առկա է անհամապատասխանություն CW-NCB-LRNIP-AF-2017/7 պայմանագրի </w:t>
      </w:r>
      <w:r w:rsidR="00DF2A9E" w:rsidRPr="005C082A">
        <w:rPr>
          <w:b/>
          <w:i/>
          <w:szCs w:val="24"/>
          <w:lang w:val="hy-AM"/>
        </w:rPr>
        <w:t>Տեխնիկական մասնագրերի մասնագրերի 109.01. կետի d) ենթակետի և 109.03 կետի պահանջի հետ</w:t>
      </w:r>
      <w:r w:rsidR="005D44B2" w:rsidRPr="005C082A">
        <w:rPr>
          <w:b/>
          <w:i/>
          <w:szCs w:val="24"/>
          <w:lang w:val="hy-AM"/>
        </w:rPr>
        <w:t>։</w:t>
      </w:r>
    </w:p>
    <w:p w14:paraId="7A0BEABC" w14:textId="77777777" w:rsidR="00DF2A9E" w:rsidRPr="005C082A" w:rsidRDefault="00DF2A9E" w:rsidP="00DF2A9E">
      <w:pPr>
        <w:autoSpaceDE w:val="0"/>
        <w:autoSpaceDN w:val="0"/>
        <w:adjustRightInd w:val="0"/>
        <w:spacing w:after="0"/>
        <w:ind w:firstLine="567"/>
        <w:rPr>
          <w:rFonts w:cs="Calibri,Bold"/>
          <w:bCs/>
          <w:szCs w:val="24"/>
          <w:lang w:val="hy-AM"/>
        </w:rPr>
      </w:pPr>
      <w:r w:rsidRPr="005C082A">
        <w:rPr>
          <w:rFonts w:cs="Calibri,Bold"/>
          <w:bCs/>
          <w:szCs w:val="24"/>
          <w:lang w:val="hy-AM"/>
        </w:rPr>
        <w:t xml:space="preserve">Համաձայն 109.03 կետի պահանջի լաբորատոր հետազոտության պետք է եթարկվի վերին և ներքին շերտի ասֆալտբետոնի խառնուրդի և </w:t>
      </w:r>
      <w:r w:rsidRPr="005C082A">
        <w:rPr>
          <w:rFonts w:cs="Sylfaen"/>
          <w:szCs w:val="24"/>
          <w:lang w:val="hy-AM"/>
        </w:rPr>
        <w:t>չխտացված բիտումով մշակված մանրահատիկ խճավազային խառնուրդի</w:t>
      </w:r>
    </w:p>
    <w:p w14:paraId="36392D4D" w14:textId="77777777" w:rsidR="00DF2A9E" w:rsidRPr="005C082A" w:rsidRDefault="00DF2A9E" w:rsidP="00DF2A9E">
      <w:pPr>
        <w:autoSpaceDE w:val="0"/>
        <w:autoSpaceDN w:val="0"/>
        <w:adjustRightInd w:val="0"/>
        <w:spacing w:after="0"/>
        <w:ind w:firstLine="567"/>
        <w:rPr>
          <w:rFonts w:cs="Sylfaen"/>
          <w:szCs w:val="24"/>
          <w:lang w:val="hy-AM"/>
        </w:rPr>
      </w:pPr>
      <w:r w:rsidRPr="005C082A">
        <w:rPr>
          <w:rFonts w:cs="Calibri,Bold"/>
          <w:bCs/>
          <w:szCs w:val="24"/>
          <w:lang w:val="hy-AM"/>
        </w:rPr>
        <w:t xml:space="preserve">- </w:t>
      </w:r>
      <w:r w:rsidRPr="005C082A">
        <w:rPr>
          <w:rFonts w:cs="Sylfaen"/>
          <w:szCs w:val="24"/>
          <w:lang w:val="hy-AM"/>
        </w:rPr>
        <w:t>տեղադրված, բայց չխտացված ծածկից օրական մեկ նմուշ և, 500 տոննայից ավելիի դեպքում, մեկ նմուշ յուրաքանչյուր 500 տոննայից:</w:t>
      </w:r>
    </w:p>
    <w:p w14:paraId="4A8BB851" w14:textId="77777777" w:rsidR="00DF2A9E" w:rsidRPr="005C082A" w:rsidRDefault="00DF2A9E" w:rsidP="00DF2A9E">
      <w:pPr>
        <w:autoSpaceDE w:val="0"/>
        <w:autoSpaceDN w:val="0"/>
        <w:adjustRightInd w:val="0"/>
        <w:spacing w:after="0"/>
        <w:ind w:firstLine="567"/>
        <w:rPr>
          <w:rFonts w:cs="Sylfaen"/>
          <w:szCs w:val="24"/>
          <w:lang w:val="hy-AM"/>
        </w:rPr>
      </w:pPr>
      <w:r w:rsidRPr="005C082A">
        <w:rPr>
          <w:rFonts w:cs="Sylfaen"/>
          <w:szCs w:val="24"/>
          <w:lang w:val="hy-AM"/>
        </w:rPr>
        <w:t>- Ասֆալտբետոնե խառնուրդի պատրաստման գործարանից՝ մեկ նմուշ յուրաքանչուր 500տ-ից։</w:t>
      </w:r>
    </w:p>
    <w:p w14:paraId="6D2AD0FE" w14:textId="77777777" w:rsidR="00DF2A9E" w:rsidRPr="005C082A" w:rsidRDefault="00DF2A9E" w:rsidP="00DF2A9E">
      <w:pPr>
        <w:autoSpaceDE w:val="0"/>
        <w:autoSpaceDN w:val="0"/>
        <w:adjustRightInd w:val="0"/>
        <w:spacing w:after="0"/>
        <w:ind w:firstLine="567"/>
        <w:rPr>
          <w:rFonts w:cs="Sylfaen"/>
          <w:szCs w:val="24"/>
          <w:lang w:val="hy-AM"/>
        </w:rPr>
      </w:pPr>
      <w:r w:rsidRPr="005C082A">
        <w:rPr>
          <w:rFonts w:cs="Sylfaen"/>
          <w:szCs w:val="24"/>
          <w:lang w:val="hy-AM"/>
        </w:rPr>
        <w:lastRenderedPageBreak/>
        <w:t xml:space="preserve">Համաձայն 109.01. </w:t>
      </w:r>
      <w:r w:rsidRPr="005C082A">
        <w:rPr>
          <w:szCs w:val="24"/>
          <w:lang w:val="hy-AM"/>
        </w:rPr>
        <w:t>d) ենթակետի</w:t>
      </w:r>
      <w:r w:rsidRPr="005C082A">
        <w:rPr>
          <w:b/>
          <w:szCs w:val="24"/>
          <w:lang w:val="hy-AM"/>
        </w:rPr>
        <w:t xml:space="preserve"> ն</w:t>
      </w:r>
      <w:r w:rsidRPr="005C082A">
        <w:rPr>
          <w:rFonts w:cs="Sylfaen"/>
          <w:szCs w:val="24"/>
          <w:lang w:val="hy-AM"/>
        </w:rPr>
        <w:t>ախքան աշխատանքներն սկսելը Գործատուի Ծրագրի ղեկավարը կամ Ծրագրի ղեկավարի ներկայացուցիչը պետք է ստուգի առաջարկվող լաբորատորիան, որպեսզի ապահովի Կապալառուի գործունեության համապատասխանությունը այս Մասնագրերին: Այն դեպքում, երբ հայտնաբերվի, որ Կապալառուն Պայմանագրի ժամանակաշրջանի ընթացքում որևէ ժամանակ չի կատարում սույն Մասնագրերի պահանջները, Գործատուի Ծրագրի ղեկավարը կամ Ծրագրի ղեկավարի ներկայացուցիչը կարող է կարգադրել ստորև նշվածներից որևէ մեկը կամ բոլորը.</w:t>
      </w:r>
    </w:p>
    <w:p w14:paraId="1EA08AC0" w14:textId="77777777" w:rsidR="00DF2A9E" w:rsidRPr="005C082A" w:rsidRDefault="00DF2A9E" w:rsidP="00DF2A9E">
      <w:pPr>
        <w:autoSpaceDE w:val="0"/>
        <w:autoSpaceDN w:val="0"/>
        <w:adjustRightInd w:val="0"/>
        <w:spacing w:after="0"/>
        <w:ind w:left="567" w:firstLine="0"/>
        <w:rPr>
          <w:rFonts w:cs="Sylfaen"/>
          <w:szCs w:val="24"/>
          <w:lang w:val="hy-AM"/>
        </w:rPr>
      </w:pPr>
      <w:r w:rsidRPr="005C082A">
        <w:rPr>
          <w:rFonts w:cs="Calibri"/>
          <w:szCs w:val="24"/>
          <w:lang w:val="hy-AM"/>
        </w:rPr>
        <w:t>1.</w:t>
      </w:r>
      <w:r w:rsidRPr="005C082A">
        <w:rPr>
          <w:rFonts w:ascii="Calibri" w:hAnsi="Calibri" w:cs="Calibri"/>
          <w:szCs w:val="24"/>
          <w:lang w:val="hy-AM"/>
        </w:rPr>
        <w:t> </w:t>
      </w:r>
      <w:r w:rsidRPr="005C082A">
        <w:rPr>
          <w:rFonts w:cs="Sylfaen"/>
          <w:szCs w:val="24"/>
          <w:lang w:val="hy-AM"/>
        </w:rPr>
        <w:t>Բոլոր աշխատանքների դադարեցում, մինչև ձեռք բերվի համապատասխանություն Մասնագրերին:</w:t>
      </w:r>
    </w:p>
    <w:p w14:paraId="0FF79F93" w14:textId="77777777" w:rsidR="00DF2A9E" w:rsidRPr="005C082A" w:rsidRDefault="00DF2A9E" w:rsidP="00DF2A9E">
      <w:pPr>
        <w:autoSpaceDE w:val="0"/>
        <w:autoSpaceDN w:val="0"/>
        <w:adjustRightInd w:val="0"/>
        <w:spacing w:after="0"/>
        <w:ind w:left="567" w:firstLine="0"/>
        <w:rPr>
          <w:rFonts w:cs="Sylfaen"/>
          <w:szCs w:val="24"/>
          <w:lang w:val="hy-AM"/>
        </w:rPr>
      </w:pPr>
      <w:r w:rsidRPr="005C082A">
        <w:rPr>
          <w:rFonts w:cs="Calibri"/>
          <w:szCs w:val="24"/>
          <w:lang w:val="hy-AM"/>
        </w:rPr>
        <w:t>2.</w:t>
      </w:r>
      <w:r w:rsidRPr="005C082A">
        <w:rPr>
          <w:rFonts w:ascii="Calibri" w:hAnsi="Calibri" w:cs="Calibri"/>
          <w:szCs w:val="24"/>
          <w:lang w:val="hy-AM"/>
        </w:rPr>
        <w:t> </w:t>
      </w:r>
      <w:r w:rsidRPr="005C082A">
        <w:rPr>
          <w:rFonts w:cs="Sylfaen"/>
          <w:szCs w:val="24"/>
          <w:lang w:val="hy-AM"/>
        </w:rPr>
        <w:t>Աշխատանքների որևէ մասի կամ փուլի դադարեցում, մինչև ձեռք բերվի համապատասխանություն Մասնագրերին:</w:t>
      </w:r>
    </w:p>
    <w:p w14:paraId="29B18A3E" w14:textId="77777777" w:rsidR="00DF2A9E" w:rsidRPr="005C082A" w:rsidRDefault="00DF2A9E" w:rsidP="00DF2A9E">
      <w:pPr>
        <w:autoSpaceDE w:val="0"/>
        <w:autoSpaceDN w:val="0"/>
        <w:adjustRightInd w:val="0"/>
        <w:spacing w:after="0"/>
        <w:ind w:left="567" w:firstLine="0"/>
        <w:rPr>
          <w:b/>
          <w:szCs w:val="24"/>
          <w:lang w:val="hy-AM"/>
        </w:rPr>
      </w:pPr>
      <w:r w:rsidRPr="005C082A">
        <w:rPr>
          <w:rFonts w:cs="Calibri"/>
          <w:szCs w:val="24"/>
          <w:lang w:val="hy-AM"/>
        </w:rPr>
        <w:t>3.</w:t>
      </w:r>
      <w:r w:rsidRPr="005C082A">
        <w:rPr>
          <w:rFonts w:ascii="Calibri" w:hAnsi="Calibri" w:cs="Calibri"/>
          <w:szCs w:val="24"/>
          <w:lang w:val="hy-AM"/>
        </w:rPr>
        <w:t> </w:t>
      </w:r>
      <w:r w:rsidRPr="005C082A">
        <w:rPr>
          <w:rFonts w:cs="Sylfaen"/>
          <w:szCs w:val="24"/>
          <w:lang w:val="hy-AM"/>
        </w:rPr>
        <w:t>Տուգանքի գնահատում յուրաքանչյուր օրվա համար, որի ժամանակ Մասնագրերի համապատասխանություն չի եղել. տուգանքը պետք է սկսի գործել այդպիսի անհամապատասխանության մասին ծանուցելուց 7 օր հետո:</w:t>
      </w:r>
    </w:p>
    <w:p w14:paraId="366F7D81" w14:textId="50710B90" w:rsidR="005D44B2" w:rsidRPr="005C082A" w:rsidRDefault="005D44B2" w:rsidP="00CB7FEB">
      <w:pPr>
        <w:pStyle w:val="ListParagraph"/>
        <w:ind w:left="0" w:firstLine="567"/>
        <w:jc w:val="both"/>
        <w:rPr>
          <w:rFonts w:ascii="GHEA Grapalat" w:hAnsi="GHEA Grapalat"/>
          <w:sz w:val="24"/>
          <w:szCs w:val="24"/>
          <w:lang w:val="hy-AM"/>
        </w:rPr>
      </w:pPr>
      <w:r w:rsidRPr="00952DB8">
        <w:rPr>
          <w:rFonts w:ascii="GHEA Grapalat" w:hAnsi="GHEA Grapalat"/>
          <w:sz w:val="24"/>
          <w:szCs w:val="24"/>
          <w:lang w:val="hy-AM"/>
        </w:rPr>
        <w:t>Համաձայն ներկայացրած փաստաթղթերի 201</w:t>
      </w:r>
      <w:r w:rsidR="00F2729D" w:rsidRPr="00650A93">
        <w:rPr>
          <w:rFonts w:ascii="GHEA Grapalat" w:hAnsi="GHEA Grapalat"/>
          <w:sz w:val="24"/>
          <w:szCs w:val="24"/>
          <w:lang w:val="hy-AM"/>
        </w:rPr>
        <w:t>8</w:t>
      </w:r>
      <w:r w:rsidRPr="00952DB8">
        <w:rPr>
          <w:rFonts w:ascii="GHEA Grapalat" w:hAnsi="GHEA Grapalat"/>
          <w:sz w:val="24"/>
          <w:szCs w:val="24"/>
          <w:lang w:val="hy-AM"/>
        </w:rPr>
        <w:t xml:space="preserve">թ հոկտեմբեր ամսին իրականացվել է 14898,6 քմ և նոյեմբերին 15454 քմ ասֆալտապատման աշխատանքներ </w:t>
      </w:r>
      <w:r w:rsidR="00DF2A9E" w:rsidRPr="00952DB8">
        <w:rPr>
          <w:rFonts w:ascii="GHEA Grapalat" w:hAnsi="GHEA Grapalat"/>
          <w:sz w:val="24"/>
          <w:szCs w:val="24"/>
          <w:lang w:val="hy-AM"/>
        </w:rPr>
        <w:t>իրականացվել են առանց</w:t>
      </w:r>
      <w:r w:rsidRPr="00952DB8">
        <w:rPr>
          <w:rFonts w:ascii="GHEA Grapalat" w:hAnsi="GHEA Grapalat"/>
          <w:sz w:val="24"/>
          <w:szCs w:val="24"/>
          <w:lang w:val="hy-AM"/>
        </w:rPr>
        <w:t xml:space="preserve"> լաբորատոր հետազոտությունների</w:t>
      </w:r>
      <w:r w:rsidR="00A525C7" w:rsidRPr="00952DB8">
        <w:rPr>
          <w:rFonts w:ascii="GHEA Grapalat" w:hAnsi="GHEA Grapalat"/>
          <w:sz w:val="24"/>
          <w:szCs w:val="24"/>
          <w:lang w:val="hy-AM"/>
        </w:rPr>
        <w:t>,</w:t>
      </w:r>
      <w:r w:rsidRPr="005C082A">
        <w:rPr>
          <w:rFonts w:ascii="GHEA Grapalat" w:hAnsi="GHEA Grapalat"/>
          <w:sz w:val="24"/>
          <w:szCs w:val="24"/>
          <w:lang w:val="hy-AM"/>
        </w:rPr>
        <w:t xml:space="preserve"> </w:t>
      </w:r>
      <w:r w:rsidR="00A525C7" w:rsidRPr="005C082A">
        <w:rPr>
          <w:rFonts w:ascii="GHEA Grapalat" w:hAnsi="GHEA Grapalat"/>
          <w:sz w:val="24"/>
          <w:szCs w:val="24"/>
          <w:lang w:val="hy-AM"/>
        </w:rPr>
        <w:t xml:space="preserve">սակայն Ծրագրի ղեկավարի  կողմից չի կատարվել Մասնագրի </w:t>
      </w:r>
      <w:r w:rsidR="00A525C7" w:rsidRPr="005C082A">
        <w:rPr>
          <w:rFonts w:ascii="GHEA Grapalat" w:hAnsi="GHEA Grapalat" w:cs="Sylfaen"/>
          <w:sz w:val="24"/>
          <w:szCs w:val="24"/>
          <w:lang w:val="hy-AM"/>
        </w:rPr>
        <w:t xml:space="preserve">005.01. </w:t>
      </w:r>
      <w:r w:rsidR="00A525C7" w:rsidRPr="005C082A">
        <w:rPr>
          <w:rFonts w:ascii="GHEA Grapalat" w:hAnsi="GHEA Grapalat"/>
          <w:sz w:val="24"/>
          <w:szCs w:val="24"/>
          <w:lang w:val="hy-AM"/>
        </w:rPr>
        <w:t>d) կետով սահմանված պահանջներից ոչ մեկը</w:t>
      </w:r>
      <w:r w:rsidRPr="005C082A">
        <w:rPr>
          <w:rFonts w:ascii="GHEA Grapalat" w:hAnsi="GHEA Grapalat"/>
          <w:sz w:val="24"/>
          <w:szCs w:val="24"/>
          <w:lang w:val="hy-AM"/>
        </w:rPr>
        <w:t>։</w:t>
      </w:r>
    </w:p>
    <w:p w14:paraId="6E2E8006" w14:textId="0991BA7C" w:rsidR="005D44B2" w:rsidRDefault="005D44B2" w:rsidP="00CB7FEB">
      <w:pPr>
        <w:ind w:firstLine="567"/>
        <w:rPr>
          <w:szCs w:val="24"/>
          <w:lang w:val="hy-AM"/>
        </w:rPr>
      </w:pPr>
      <w:r w:rsidRPr="005C082A">
        <w:rPr>
          <w:szCs w:val="24"/>
          <w:lang w:val="hy-AM"/>
        </w:rPr>
        <w:t xml:space="preserve">Բացի այդ ներկայացվել են </w:t>
      </w:r>
      <w:r w:rsidR="00DF2A9E" w:rsidRPr="005C082A">
        <w:rPr>
          <w:szCs w:val="24"/>
          <w:lang w:val="hy-AM"/>
        </w:rPr>
        <w:t xml:space="preserve">ասֆալտբետոնյա </w:t>
      </w:r>
      <w:r w:rsidRPr="005C082A">
        <w:rPr>
          <w:szCs w:val="24"/>
          <w:lang w:val="hy-AM"/>
        </w:rPr>
        <w:t>խառնուրդի լաբորատոր հետազոտությունների արձանագրություններ ամսագրված 2017թ օգոստոսի 24-ով, 25-ով, 27-ով, 28-ով, 30-ով, սեպտեմբերի 1-ով, 11-ով, 13-ով և 14-ով այն դեպքում, երբ համաձայն ա/բ տեղադրման սխեմաների այդ օրերին ասֆալտբետոնի տեղադրման աշխատանքներ չեն կատարվել։ Աշխատանքներ կատարվել են միայն սեպտեմբերի 29-ին և 31-ին որոնց համար սակայն չեն ներկայացվել լաբորատոր հետազոտության արդյունքներ։</w:t>
      </w:r>
    </w:p>
    <w:p w14:paraId="1D3C714A" w14:textId="47AA4735" w:rsidR="001035B2" w:rsidRPr="00605A07" w:rsidRDefault="001035B2" w:rsidP="00FF16B1">
      <w:pPr>
        <w:spacing w:before="240" w:after="0"/>
        <w:ind w:firstLine="567"/>
        <w:rPr>
          <w:b/>
          <w:sz w:val="20"/>
          <w:szCs w:val="20"/>
          <w:lang w:val="hy-AM"/>
        </w:rPr>
      </w:pPr>
      <w:r w:rsidRPr="00605A07">
        <w:rPr>
          <w:b/>
          <w:sz w:val="20"/>
          <w:szCs w:val="20"/>
          <w:lang w:val="hy-AM"/>
        </w:rPr>
        <w:t>Հաշվեքննության օբյեկտի առարկությունները և բացատրությունները։</w:t>
      </w:r>
    </w:p>
    <w:p w14:paraId="6D4B9407" w14:textId="77777777" w:rsidR="00780956" w:rsidRPr="00605A07" w:rsidRDefault="00780956">
      <w:pPr>
        <w:rPr>
          <w:sz w:val="20"/>
          <w:szCs w:val="20"/>
          <w:lang w:val="hy-AM"/>
        </w:rPr>
      </w:pPr>
      <w:r w:rsidRPr="00605A07">
        <w:rPr>
          <w:sz w:val="20"/>
          <w:szCs w:val="20"/>
          <w:lang w:val="hy-AM"/>
        </w:rPr>
        <w:t>Նշված օբեյեկտում 2017թ</w:t>
      </w:r>
      <w:r w:rsidRPr="00605A07">
        <w:rPr>
          <w:rFonts w:ascii="Cambria Math" w:hAnsi="Cambria Math" w:cs="Cambria Math"/>
          <w:sz w:val="20"/>
          <w:szCs w:val="20"/>
          <w:lang w:val="hy-AM"/>
        </w:rPr>
        <w:t>․</w:t>
      </w:r>
      <w:r w:rsidRPr="00605A07">
        <w:rPr>
          <w:sz w:val="20"/>
          <w:szCs w:val="20"/>
          <w:lang w:val="hy-AM"/>
        </w:rPr>
        <w:t xml:space="preserve"> հոկտեմբեր և նոյեբեր  ամիսներին ասֆալատապատաման աշխատանքներ չեն իրականացվել, հետևաբար լաբորատոր հետազոտման ակտեր ներկայացնելու անհարժեշտություն չի եղել։ Ասֆալտապատաման աշխատանքները սկսվել մեկնարկել են 2018թ</w:t>
      </w:r>
      <w:r w:rsidRPr="00605A07">
        <w:rPr>
          <w:rFonts w:ascii="Cambria Math" w:hAnsi="Cambria Math" w:cs="Cambria Math"/>
          <w:sz w:val="20"/>
          <w:szCs w:val="20"/>
          <w:lang w:val="hy-AM"/>
        </w:rPr>
        <w:t>․</w:t>
      </w:r>
      <w:r w:rsidRPr="00605A07">
        <w:rPr>
          <w:sz w:val="20"/>
          <w:szCs w:val="20"/>
          <w:lang w:val="hy-AM"/>
        </w:rPr>
        <w:t xml:space="preserve"> օգոստոսից և ավարտվել են 2018թ</w:t>
      </w:r>
      <w:r w:rsidRPr="00605A07">
        <w:rPr>
          <w:rFonts w:ascii="Cambria Math" w:hAnsi="Cambria Math" w:cs="Cambria Math"/>
          <w:sz w:val="20"/>
          <w:szCs w:val="20"/>
          <w:lang w:val="hy-AM"/>
        </w:rPr>
        <w:t>․</w:t>
      </w:r>
      <w:r w:rsidRPr="00605A07">
        <w:rPr>
          <w:sz w:val="20"/>
          <w:szCs w:val="20"/>
          <w:lang w:val="hy-AM"/>
        </w:rPr>
        <w:t xml:space="preserve"> նոյեմբերին։ Նշված փաստաթղթերի անհամապատասխանությունները, բացակայությունը կամ առկայութունը ստուգելու, և </w:t>
      </w:r>
      <w:r w:rsidRPr="00605A07">
        <w:rPr>
          <w:sz w:val="20"/>
          <w:szCs w:val="20"/>
          <w:lang w:val="hy-AM"/>
        </w:rPr>
        <w:lastRenderedPageBreak/>
        <w:t>համապատասխան դիքորոշում/պարզաբանում հայտնելու համար անհրաժեշտ է լրացուցիչ ժամանակ։</w:t>
      </w:r>
    </w:p>
    <w:p w14:paraId="077AB51A" w14:textId="77777777" w:rsidR="00780956" w:rsidRPr="00605A07" w:rsidRDefault="00780956">
      <w:pPr>
        <w:rPr>
          <w:sz w:val="20"/>
          <w:szCs w:val="20"/>
          <w:lang w:val="hy-AM"/>
        </w:rPr>
      </w:pPr>
      <w:r w:rsidRPr="00605A07">
        <w:rPr>
          <w:sz w:val="20"/>
          <w:szCs w:val="20"/>
          <w:lang w:val="hy-AM"/>
        </w:rPr>
        <w:t>Իրականացվող աշխատանքների ամենօրյա հսկողության և փաստաթղթավորման ապահովման համար պատասխանատու է տեխնիկական հսկողությունը։ Թաքնված/միջանկյալ աշխատանքների ակտերը ստորագրվում են կապալառու կազմակերպության և տեխհսկողության կողմից  և նշված փաստաթղերում տեղ գտած ենթադրյալ անճշտությունները հնարավոր է, որ անուշադրության կամ վրիպումների հետևանք են, որոնք կարող էին առաջանալ աշխատանքային գործընթացում։</w:t>
      </w:r>
    </w:p>
    <w:p w14:paraId="098250EF" w14:textId="77777777" w:rsidR="00780956" w:rsidRPr="00605A07" w:rsidRDefault="00780956">
      <w:pPr>
        <w:rPr>
          <w:sz w:val="20"/>
          <w:szCs w:val="20"/>
          <w:lang w:val="hy-AM"/>
        </w:rPr>
      </w:pPr>
      <w:r w:rsidRPr="00605A07">
        <w:rPr>
          <w:sz w:val="20"/>
          <w:szCs w:val="20"/>
          <w:lang w:val="hy-AM"/>
        </w:rPr>
        <w:t>Անհրաժեշտ է նկատել, որ ինչպես նշված է վերևում՝ 2017թ</w:t>
      </w:r>
      <w:r w:rsidRPr="00605A07">
        <w:rPr>
          <w:rFonts w:ascii="Cambria Math" w:hAnsi="Cambria Math" w:cs="Cambria Math"/>
          <w:sz w:val="20"/>
          <w:szCs w:val="20"/>
          <w:lang w:val="hy-AM"/>
        </w:rPr>
        <w:t>․</w:t>
      </w:r>
      <w:r w:rsidRPr="00605A07">
        <w:rPr>
          <w:sz w:val="20"/>
          <w:szCs w:val="20"/>
          <w:lang w:val="hy-AM"/>
        </w:rPr>
        <w:t xml:space="preserve"> ասֆալտապատման աշխատանքներ չեն իրականացվել, ուստի ՀՊ-ի կողմից վկայակոչված լաբորատոր ձորձարկումների արձանագրությունների բացակայության պնդումը փաստարված չէ։</w:t>
      </w:r>
    </w:p>
    <w:p w14:paraId="676793EC" w14:textId="77777777" w:rsidR="00780956" w:rsidRPr="00605A07" w:rsidRDefault="00780956">
      <w:pPr>
        <w:rPr>
          <w:sz w:val="20"/>
          <w:szCs w:val="20"/>
          <w:lang w:val="hy-AM"/>
        </w:rPr>
      </w:pPr>
      <w:r w:rsidRPr="00605A07">
        <w:rPr>
          <w:sz w:val="20"/>
          <w:szCs w:val="20"/>
          <w:lang w:val="hy-AM"/>
        </w:rPr>
        <w:t>Այնուամենայնիվ, առկա են Խորհրդատուի կողմից ներկայացված եզրակացություններ, որոնց համաձայն կատարված աշխատանքների որակն ու տեխնոլոգիական հաջորդականությունը համապատասխանել են Պայմանագրի, Ճանապարհի վերականգնման նախագծի և Պայմանագրի մաս հանդիսացող Տեխնիկական մասնագրերի պահանջներին, կատարված շինմոնտաժային աշխատանքները սահմանված կարգով փաստաթղթավորվել են՝ կազմվել են համապատասխան թաքնված աշխատանքների ակտեր, միջանկյալ ակտեր և հաշվետվություններ,  ապահովված են եղել  շին</w:t>
      </w:r>
      <w:r w:rsidRPr="00605A07">
        <w:rPr>
          <w:rFonts w:ascii="Cambria Math" w:hAnsi="Cambria Math" w:cs="Cambria Math"/>
          <w:sz w:val="20"/>
          <w:szCs w:val="20"/>
          <w:lang w:val="hy-AM"/>
        </w:rPr>
        <w:t>․</w:t>
      </w:r>
      <w:r w:rsidRPr="00605A07">
        <w:rPr>
          <w:sz w:val="20"/>
          <w:szCs w:val="20"/>
          <w:lang w:val="hy-AM"/>
        </w:rPr>
        <w:t xml:space="preserve"> աշխատանքներում պահանջվող քանակով և հաճախականությամբ լաբորատոր փորձարկումների իրականացումը։</w:t>
      </w:r>
    </w:p>
    <w:p w14:paraId="6A7AA441" w14:textId="0E08B818" w:rsidR="00780956" w:rsidRPr="00605A07" w:rsidRDefault="00780956" w:rsidP="00FF16B1">
      <w:pPr>
        <w:spacing w:before="240" w:after="0"/>
        <w:ind w:firstLine="567"/>
        <w:rPr>
          <w:b/>
          <w:sz w:val="20"/>
          <w:szCs w:val="20"/>
          <w:lang w:val="hy-AM"/>
        </w:rPr>
      </w:pPr>
      <w:r w:rsidRPr="00605A07">
        <w:rPr>
          <w:sz w:val="20"/>
          <w:szCs w:val="20"/>
          <w:lang w:val="hy-AM"/>
        </w:rPr>
        <w:t>Նշված եզրակացությունները տրամադրված են ՀՊ-ին։</w:t>
      </w:r>
    </w:p>
    <w:p w14:paraId="32D2E79E" w14:textId="1F4DE9D2" w:rsidR="001035B2" w:rsidRPr="00605A07" w:rsidRDefault="001035B2" w:rsidP="00FF16B1">
      <w:pPr>
        <w:spacing w:before="240" w:after="0"/>
        <w:ind w:firstLine="567"/>
        <w:rPr>
          <w:b/>
          <w:sz w:val="20"/>
          <w:szCs w:val="20"/>
          <w:lang w:val="hy-AM"/>
        </w:rPr>
      </w:pPr>
      <w:r w:rsidRPr="00605A07">
        <w:rPr>
          <w:b/>
          <w:sz w:val="20"/>
          <w:szCs w:val="20"/>
          <w:lang w:val="hy-AM"/>
        </w:rPr>
        <w:t>Հաշվեքննողի մեկնաբանությունը։</w:t>
      </w:r>
    </w:p>
    <w:p w14:paraId="0B0FE7FF" w14:textId="54E7712A" w:rsidR="00952DB8" w:rsidRPr="00605A07" w:rsidRDefault="00605A07" w:rsidP="00FF16B1">
      <w:pPr>
        <w:spacing w:before="240" w:after="0"/>
        <w:ind w:firstLine="567"/>
        <w:rPr>
          <w:sz w:val="20"/>
          <w:szCs w:val="20"/>
          <w:lang w:val="hy-AM"/>
        </w:rPr>
      </w:pPr>
      <w:r w:rsidRPr="00FF16B1">
        <w:rPr>
          <w:sz w:val="20"/>
          <w:szCs w:val="20"/>
          <w:lang w:val="hy-AM"/>
        </w:rPr>
        <w:t>Չի</w:t>
      </w:r>
      <w:r w:rsidR="00B01F1B" w:rsidRPr="00FF16B1">
        <w:rPr>
          <w:sz w:val="20"/>
          <w:szCs w:val="20"/>
          <w:lang w:val="hy-AM"/>
        </w:rPr>
        <w:t xml:space="preserve"> ընդունվում քանի</w:t>
      </w:r>
      <w:r w:rsidR="00952DB8" w:rsidRPr="00605A07">
        <w:rPr>
          <w:sz w:val="20"/>
          <w:szCs w:val="20"/>
          <w:lang w:val="hy-AM"/>
        </w:rPr>
        <w:t xml:space="preserve"> </w:t>
      </w:r>
      <w:r w:rsidR="00B01F1B" w:rsidRPr="00FF16B1">
        <w:rPr>
          <w:sz w:val="20"/>
          <w:szCs w:val="20"/>
          <w:lang w:val="hy-AM"/>
        </w:rPr>
        <w:t>որ ներկայացված փաստաթղթավորումը Տեխնիկական մասնագրերի պահանջներին փոխարինելու իրավական կարգավորում չկա։</w:t>
      </w:r>
      <w:r w:rsidR="00B01F1B" w:rsidRPr="00605A07" w:rsidDel="00B01F1B">
        <w:rPr>
          <w:sz w:val="20"/>
          <w:szCs w:val="20"/>
          <w:lang w:val="hy-AM"/>
        </w:rPr>
        <w:t xml:space="preserve"> </w:t>
      </w:r>
      <w:r w:rsidRPr="00605A07">
        <w:rPr>
          <w:sz w:val="20"/>
          <w:szCs w:val="20"/>
          <w:lang w:val="hy-AM"/>
        </w:rPr>
        <w:t>Տարեթիվը</w:t>
      </w:r>
      <w:r w:rsidRPr="008027DA">
        <w:rPr>
          <w:sz w:val="20"/>
          <w:szCs w:val="20"/>
          <w:lang w:val="hy-AM"/>
        </w:rPr>
        <w:t xml:space="preserve"> 2018 թվականի փոխարեն արձանագրությունում սխալմամբ արձանգրվել էր 2017</w:t>
      </w:r>
      <w:r w:rsidRPr="00FF16B1">
        <w:rPr>
          <w:sz w:val="20"/>
          <w:szCs w:val="20"/>
          <w:lang w:val="hy-AM"/>
        </w:rPr>
        <w:t xml:space="preserve"> </w:t>
      </w:r>
      <w:r w:rsidRPr="008027DA">
        <w:rPr>
          <w:sz w:val="20"/>
          <w:szCs w:val="20"/>
          <w:lang w:val="hy-AM"/>
        </w:rPr>
        <w:t xml:space="preserve">թվական։ </w:t>
      </w:r>
    </w:p>
    <w:p w14:paraId="08F24EEF" w14:textId="6C8115EF" w:rsidR="005D44B2" w:rsidRPr="005C082A" w:rsidRDefault="005D44B2" w:rsidP="00CB7FEB">
      <w:pPr>
        <w:ind w:firstLine="567"/>
        <w:jc w:val="center"/>
        <w:rPr>
          <w:b/>
          <w:szCs w:val="24"/>
          <w:u w:val="single"/>
          <w:lang w:val="hy-AM"/>
        </w:rPr>
      </w:pPr>
      <w:r w:rsidRPr="005C082A">
        <w:rPr>
          <w:rFonts w:eastAsia="Times New Roman" w:cs="Calibri"/>
          <w:b/>
          <w:color w:val="000000"/>
          <w:szCs w:val="24"/>
          <w:u w:val="single"/>
          <w:lang w:val="hy-AM"/>
        </w:rPr>
        <w:t>Համաշխարհային բանկի աջակցությամբ իրականացվող Կենսական նշանակության ճանապարհացանցի բարելավման լրացուցիչ ծրագիրի շրջանակներում ավտոճանապարհների բարեկարգման աշխատանքներ (1049-21003)</w:t>
      </w:r>
    </w:p>
    <w:p w14:paraId="52CAD7E7" w14:textId="57166F63" w:rsidR="005D44B2" w:rsidRPr="005C082A" w:rsidRDefault="00A40814" w:rsidP="00CB7FEB">
      <w:pPr>
        <w:ind w:firstLine="567"/>
        <w:rPr>
          <w:b/>
          <w:i/>
          <w:szCs w:val="24"/>
          <w:lang w:val="hy-AM"/>
        </w:rPr>
      </w:pPr>
      <w:r w:rsidRPr="005C082A">
        <w:rPr>
          <w:b/>
          <w:i/>
          <w:szCs w:val="24"/>
          <w:lang w:val="hy-AM"/>
        </w:rPr>
        <w:t>5.14</w:t>
      </w:r>
      <w:r w:rsidR="005D44B2" w:rsidRPr="005C082A">
        <w:rPr>
          <w:b/>
          <w:i/>
          <w:szCs w:val="24"/>
          <w:lang w:val="hy-AM"/>
        </w:rPr>
        <w:t>. Առկա է անհամապատասխանություն CW_NCB-LRNIP AF-2019/4 պայմանագրի Տեխնիկական մասնագրերի մասնագրերի 109.01. կետի d) ենթակետի և 109.03 կետի պահանջի հետ։</w:t>
      </w:r>
    </w:p>
    <w:p w14:paraId="4AC991C8" w14:textId="77777777" w:rsidR="005D44B2" w:rsidRPr="005C082A" w:rsidRDefault="005D44B2" w:rsidP="00CB7FEB">
      <w:pPr>
        <w:autoSpaceDE w:val="0"/>
        <w:autoSpaceDN w:val="0"/>
        <w:adjustRightInd w:val="0"/>
        <w:spacing w:after="0"/>
        <w:ind w:firstLine="567"/>
        <w:rPr>
          <w:rFonts w:cs="Calibri,Bold"/>
          <w:bCs/>
          <w:szCs w:val="24"/>
          <w:lang w:val="hy-AM"/>
        </w:rPr>
      </w:pPr>
      <w:r w:rsidRPr="005C082A">
        <w:rPr>
          <w:rFonts w:cs="Calibri,Bold"/>
          <w:bCs/>
          <w:szCs w:val="24"/>
          <w:lang w:val="hy-AM"/>
        </w:rPr>
        <w:t xml:space="preserve">Համաձայն 109.03 կետի պահանջի լաբորատոր հետազոտության պետք է եթարկվի վերին և ներքին շերտի ասֆալտբետոնի խառնուրդի և </w:t>
      </w:r>
      <w:r w:rsidRPr="005C082A">
        <w:rPr>
          <w:rFonts w:cs="Sylfaen"/>
          <w:szCs w:val="24"/>
          <w:lang w:val="hy-AM"/>
        </w:rPr>
        <w:t>չխտացված բիտումով մշակված մանրահատիկ խճավազային խառնուրդի</w:t>
      </w:r>
    </w:p>
    <w:p w14:paraId="31EA8FD5" w14:textId="77777777" w:rsidR="005D44B2" w:rsidRPr="005C082A" w:rsidRDefault="005D44B2" w:rsidP="00CB7FEB">
      <w:pPr>
        <w:autoSpaceDE w:val="0"/>
        <w:autoSpaceDN w:val="0"/>
        <w:adjustRightInd w:val="0"/>
        <w:spacing w:after="0"/>
        <w:ind w:firstLine="567"/>
        <w:rPr>
          <w:rFonts w:cs="Sylfaen"/>
          <w:szCs w:val="24"/>
          <w:lang w:val="hy-AM"/>
        </w:rPr>
      </w:pPr>
      <w:r w:rsidRPr="005C082A">
        <w:rPr>
          <w:rFonts w:cs="Calibri,Bold"/>
          <w:bCs/>
          <w:szCs w:val="24"/>
          <w:lang w:val="hy-AM"/>
        </w:rPr>
        <w:lastRenderedPageBreak/>
        <w:t xml:space="preserve">- </w:t>
      </w:r>
      <w:r w:rsidRPr="005C082A">
        <w:rPr>
          <w:rFonts w:cs="Sylfaen"/>
          <w:szCs w:val="24"/>
          <w:lang w:val="hy-AM"/>
        </w:rPr>
        <w:t>տեղադրված, բայց չխտացված ծածկից օրական մեկ նմուշ և, 500 տոննայից ավելիի դեպքում, մեկ նմուշ յուրաքանչյուր 500 տոննայից:</w:t>
      </w:r>
    </w:p>
    <w:p w14:paraId="0E9CA09E" w14:textId="77777777" w:rsidR="005D44B2" w:rsidRPr="005C082A" w:rsidRDefault="005D44B2" w:rsidP="00CB7FEB">
      <w:pPr>
        <w:autoSpaceDE w:val="0"/>
        <w:autoSpaceDN w:val="0"/>
        <w:adjustRightInd w:val="0"/>
        <w:spacing w:after="0"/>
        <w:ind w:firstLine="567"/>
        <w:rPr>
          <w:rFonts w:cs="Sylfaen"/>
          <w:szCs w:val="24"/>
          <w:lang w:val="hy-AM"/>
        </w:rPr>
      </w:pPr>
      <w:r w:rsidRPr="005C082A">
        <w:rPr>
          <w:rFonts w:cs="Sylfaen"/>
          <w:szCs w:val="24"/>
          <w:lang w:val="hy-AM"/>
        </w:rPr>
        <w:t>- Ասֆալտբետոնե խառնուրդի պատրաստման գործարանից՝ մեկ նմուշ յուրաքանչուր 500տ-ից։</w:t>
      </w:r>
    </w:p>
    <w:p w14:paraId="29CA96C1" w14:textId="77777777" w:rsidR="005D44B2" w:rsidRPr="005C082A" w:rsidRDefault="005D44B2" w:rsidP="00CB7FEB">
      <w:pPr>
        <w:autoSpaceDE w:val="0"/>
        <w:autoSpaceDN w:val="0"/>
        <w:adjustRightInd w:val="0"/>
        <w:spacing w:after="0"/>
        <w:ind w:firstLine="567"/>
        <w:rPr>
          <w:rFonts w:cs="Sylfaen"/>
          <w:szCs w:val="24"/>
          <w:lang w:val="hy-AM"/>
        </w:rPr>
      </w:pPr>
      <w:r w:rsidRPr="005C082A">
        <w:rPr>
          <w:rFonts w:cs="Sylfaen"/>
          <w:szCs w:val="24"/>
          <w:lang w:val="hy-AM"/>
        </w:rPr>
        <w:t xml:space="preserve">Համաձայն 109.01. </w:t>
      </w:r>
      <w:r w:rsidRPr="005C082A">
        <w:rPr>
          <w:szCs w:val="24"/>
          <w:lang w:val="hy-AM"/>
        </w:rPr>
        <w:t>d) ենթակետի</w:t>
      </w:r>
      <w:r w:rsidRPr="005C082A">
        <w:rPr>
          <w:b/>
          <w:szCs w:val="24"/>
          <w:lang w:val="hy-AM"/>
        </w:rPr>
        <w:t xml:space="preserve"> ն</w:t>
      </w:r>
      <w:r w:rsidRPr="005C082A">
        <w:rPr>
          <w:rFonts w:cs="Sylfaen"/>
          <w:szCs w:val="24"/>
          <w:lang w:val="hy-AM"/>
        </w:rPr>
        <w:t>ախքան աշխատանքներն սկսելը Գործատուի Ծրագրի ղեկավարը կամ Ծրագրի ղեկավարի ներկայացուցիչը պետք է ստուգի առաջարկվող լաբորատորիան, որպեսզի ապահովի Կապալառուի գործունեության համապատասխանությունը այս Մասնագրերին: Այն դեպքում, երբ հայտնաբերվի, որ Կապալառուն Պայմանագրի ժամանակաշրջանի ընթացքում որևէ ժամանակ չի կատարում սույն Մասնագրերի պահանջները, Գործատուի Ծրագրի ղեկավարը կամ Ծրագրի ղեկավարի ներկայացուցիչը կարող է կարգադրել ստորև նշվածներից որևէ մեկը կամ բոլորը.</w:t>
      </w:r>
    </w:p>
    <w:p w14:paraId="5C063D48" w14:textId="7C342567" w:rsidR="005D44B2" w:rsidRPr="005C082A" w:rsidRDefault="00CB7FEB" w:rsidP="00CB7FEB">
      <w:pPr>
        <w:autoSpaceDE w:val="0"/>
        <w:autoSpaceDN w:val="0"/>
        <w:adjustRightInd w:val="0"/>
        <w:spacing w:after="0"/>
        <w:ind w:left="567" w:firstLine="0"/>
        <w:rPr>
          <w:rFonts w:cs="Sylfaen"/>
          <w:szCs w:val="24"/>
          <w:lang w:val="hy-AM"/>
        </w:rPr>
      </w:pPr>
      <w:r w:rsidRPr="005C082A">
        <w:rPr>
          <w:rFonts w:cs="Calibri"/>
          <w:szCs w:val="24"/>
          <w:lang w:val="hy-AM"/>
        </w:rPr>
        <w:t>1.</w:t>
      </w:r>
      <w:r w:rsidRPr="005C082A">
        <w:rPr>
          <w:rFonts w:ascii="Calibri" w:hAnsi="Calibri" w:cs="Calibri"/>
          <w:szCs w:val="24"/>
          <w:lang w:val="hy-AM"/>
        </w:rPr>
        <w:t> </w:t>
      </w:r>
      <w:r w:rsidR="005D44B2" w:rsidRPr="005C082A">
        <w:rPr>
          <w:rFonts w:cs="Sylfaen"/>
          <w:szCs w:val="24"/>
          <w:lang w:val="hy-AM"/>
        </w:rPr>
        <w:t>Բոլոր աշխատանքների դադարեցում, մինչև ձեռք բերվի համապատասխանություն Մասնագրերին:</w:t>
      </w:r>
    </w:p>
    <w:p w14:paraId="577C3B2F" w14:textId="110AB6EA" w:rsidR="005D44B2" w:rsidRPr="005C082A" w:rsidRDefault="00CB7FEB" w:rsidP="00CB7FEB">
      <w:pPr>
        <w:autoSpaceDE w:val="0"/>
        <w:autoSpaceDN w:val="0"/>
        <w:adjustRightInd w:val="0"/>
        <w:spacing w:after="0"/>
        <w:ind w:left="567" w:firstLine="0"/>
        <w:rPr>
          <w:rFonts w:cs="Sylfaen"/>
          <w:szCs w:val="24"/>
          <w:lang w:val="hy-AM"/>
        </w:rPr>
      </w:pPr>
      <w:r w:rsidRPr="005C082A">
        <w:rPr>
          <w:rFonts w:cs="Calibri"/>
          <w:szCs w:val="24"/>
          <w:lang w:val="hy-AM"/>
        </w:rPr>
        <w:t>2.</w:t>
      </w:r>
      <w:r w:rsidRPr="005C082A">
        <w:rPr>
          <w:rFonts w:ascii="Calibri" w:hAnsi="Calibri" w:cs="Calibri"/>
          <w:szCs w:val="24"/>
          <w:lang w:val="hy-AM"/>
        </w:rPr>
        <w:t> </w:t>
      </w:r>
      <w:r w:rsidR="005D44B2" w:rsidRPr="005C082A">
        <w:rPr>
          <w:rFonts w:cs="Sylfaen"/>
          <w:szCs w:val="24"/>
          <w:lang w:val="hy-AM"/>
        </w:rPr>
        <w:t>Աշխատանքների որևէ մասի կամ փուլի դադարեցում, մինչև ձեռք բերվի համապատասխանություն Մասնագրերին:</w:t>
      </w:r>
    </w:p>
    <w:p w14:paraId="53F74D52" w14:textId="36F59B3F" w:rsidR="005D44B2" w:rsidRPr="005C082A" w:rsidRDefault="00CB7FEB" w:rsidP="00CB7FEB">
      <w:pPr>
        <w:autoSpaceDE w:val="0"/>
        <w:autoSpaceDN w:val="0"/>
        <w:adjustRightInd w:val="0"/>
        <w:spacing w:after="0"/>
        <w:ind w:left="567" w:firstLine="0"/>
        <w:rPr>
          <w:b/>
          <w:szCs w:val="24"/>
          <w:lang w:val="hy-AM"/>
        </w:rPr>
      </w:pPr>
      <w:r w:rsidRPr="005C082A">
        <w:rPr>
          <w:rFonts w:cs="Calibri"/>
          <w:szCs w:val="24"/>
          <w:lang w:val="hy-AM"/>
        </w:rPr>
        <w:t>3.</w:t>
      </w:r>
      <w:r w:rsidRPr="005C082A">
        <w:rPr>
          <w:rFonts w:ascii="Calibri" w:hAnsi="Calibri" w:cs="Calibri"/>
          <w:szCs w:val="24"/>
          <w:lang w:val="hy-AM"/>
        </w:rPr>
        <w:t> </w:t>
      </w:r>
      <w:r w:rsidR="005D44B2" w:rsidRPr="005C082A">
        <w:rPr>
          <w:rFonts w:cs="Sylfaen"/>
          <w:szCs w:val="24"/>
          <w:lang w:val="hy-AM"/>
        </w:rPr>
        <w:t>Տուգանքի գնահատում յուրաքանչյուր օրվա համար, որի ժամանակ Մասնագրերի համապատասխանություն չի եղել. տուգանքը պետք է սկսի գործել այդպիսի անհամապատասխանության մասին ծանուցելուց 7 օր հետո:</w:t>
      </w:r>
    </w:p>
    <w:p w14:paraId="515E150F" w14:textId="07BF5CC2" w:rsidR="005D44B2" w:rsidRDefault="005D44B2" w:rsidP="00CB7FEB">
      <w:pPr>
        <w:ind w:firstLine="567"/>
        <w:contextualSpacing/>
        <w:rPr>
          <w:szCs w:val="24"/>
          <w:lang w:val="hy-AM"/>
        </w:rPr>
      </w:pPr>
      <w:r w:rsidRPr="005C082A">
        <w:rPr>
          <w:szCs w:val="24"/>
          <w:lang w:val="hy-AM"/>
        </w:rPr>
        <w:t>Համաձայն ներկայացրած փաստաթղթերի 23</w:t>
      </w:r>
      <w:r w:rsidRPr="005C082A">
        <w:rPr>
          <w:rFonts w:ascii="Cambria Math" w:hAnsi="Cambria Math" w:cs="Cambria Math"/>
          <w:szCs w:val="24"/>
          <w:lang w:val="hy-AM"/>
        </w:rPr>
        <w:t>․</w:t>
      </w:r>
      <w:r w:rsidRPr="005C082A">
        <w:rPr>
          <w:szCs w:val="24"/>
          <w:lang w:val="hy-AM"/>
        </w:rPr>
        <w:t>08</w:t>
      </w:r>
      <w:r w:rsidRPr="005C082A">
        <w:rPr>
          <w:rFonts w:ascii="Cambria Math" w:hAnsi="Cambria Math" w:cs="Cambria Math"/>
          <w:szCs w:val="24"/>
          <w:lang w:val="hy-AM"/>
        </w:rPr>
        <w:t>․</w:t>
      </w:r>
      <w:r w:rsidRPr="005C082A">
        <w:rPr>
          <w:szCs w:val="24"/>
          <w:lang w:val="hy-AM"/>
        </w:rPr>
        <w:t>2019թ</w:t>
      </w:r>
      <w:r w:rsidRPr="005C082A">
        <w:rPr>
          <w:rFonts w:ascii="Cambria Math" w:hAnsi="Cambria Math" w:cs="Cambria Math"/>
          <w:szCs w:val="24"/>
          <w:lang w:val="hy-AM"/>
        </w:rPr>
        <w:t>․</w:t>
      </w:r>
      <w:r w:rsidRPr="005C082A">
        <w:rPr>
          <w:rFonts w:cs="Cambria Math"/>
          <w:szCs w:val="24"/>
          <w:lang w:val="hy-AM"/>
        </w:rPr>
        <w:t xml:space="preserve">-ին </w:t>
      </w:r>
      <w:r w:rsidR="00793918" w:rsidRPr="005C082A">
        <w:rPr>
          <w:rFonts w:cs="Cambria Math"/>
          <w:szCs w:val="24"/>
          <w:lang w:val="hy-AM"/>
        </w:rPr>
        <w:t xml:space="preserve">և </w:t>
      </w:r>
      <w:r w:rsidR="00793918" w:rsidRPr="005C082A">
        <w:rPr>
          <w:szCs w:val="24"/>
          <w:lang w:val="hy-AM"/>
        </w:rPr>
        <w:t>03</w:t>
      </w:r>
      <w:r w:rsidR="00793918" w:rsidRPr="005C082A">
        <w:rPr>
          <w:rFonts w:ascii="Cambria Math" w:hAnsi="Cambria Math" w:cs="Cambria Math"/>
          <w:szCs w:val="24"/>
          <w:lang w:val="hy-AM"/>
        </w:rPr>
        <w:t>․</w:t>
      </w:r>
      <w:r w:rsidR="00793918" w:rsidRPr="005C082A">
        <w:rPr>
          <w:szCs w:val="24"/>
          <w:lang w:val="hy-AM"/>
        </w:rPr>
        <w:t>10</w:t>
      </w:r>
      <w:r w:rsidR="00793918" w:rsidRPr="005C082A">
        <w:rPr>
          <w:rFonts w:ascii="Cambria Math" w:hAnsi="Cambria Math" w:cs="Cambria Math"/>
          <w:szCs w:val="24"/>
          <w:lang w:val="hy-AM"/>
        </w:rPr>
        <w:t>․</w:t>
      </w:r>
      <w:r w:rsidR="00793918" w:rsidRPr="005C082A">
        <w:rPr>
          <w:szCs w:val="24"/>
          <w:lang w:val="hy-AM"/>
        </w:rPr>
        <w:t>2019-21</w:t>
      </w:r>
      <w:r w:rsidR="00793918" w:rsidRPr="005C082A">
        <w:rPr>
          <w:rFonts w:ascii="Cambria Math" w:hAnsi="Cambria Math" w:cs="Cambria Math"/>
          <w:szCs w:val="24"/>
          <w:lang w:val="hy-AM"/>
        </w:rPr>
        <w:t>․</w:t>
      </w:r>
      <w:r w:rsidR="00793918" w:rsidRPr="005C082A">
        <w:rPr>
          <w:szCs w:val="24"/>
          <w:lang w:val="hy-AM"/>
        </w:rPr>
        <w:t>11</w:t>
      </w:r>
      <w:r w:rsidR="00793918" w:rsidRPr="005C082A">
        <w:rPr>
          <w:rFonts w:ascii="Cambria Math" w:hAnsi="Cambria Math" w:cs="Cambria Math"/>
          <w:szCs w:val="24"/>
          <w:lang w:val="hy-AM"/>
        </w:rPr>
        <w:t>․</w:t>
      </w:r>
      <w:r w:rsidR="00793918" w:rsidRPr="005C082A">
        <w:rPr>
          <w:szCs w:val="24"/>
          <w:lang w:val="hy-AM"/>
        </w:rPr>
        <w:t>2019թ</w:t>
      </w:r>
      <w:r w:rsidR="00793918" w:rsidRPr="005C082A">
        <w:rPr>
          <w:rFonts w:cs="Cambria Math"/>
          <w:szCs w:val="24"/>
          <w:lang w:val="hy-AM"/>
        </w:rPr>
        <w:t>թ</w:t>
      </w:r>
      <w:r w:rsidR="00793918" w:rsidRPr="005C082A">
        <w:rPr>
          <w:szCs w:val="24"/>
          <w:lang w:val="hy-AM"/>
        </w:rPr>
        <w:t xml:space="preserve"> </w:t>
      </w:r>
      <w:r w:rsidRPr="005C082A">
        <w:rPr>
          <w:szCs w:val="24"/>
          <w:lang w:val="hy-AM"/>
        </w:rPr>
        <w:t xml:space="preserve">իրականացվել </w:t>
      </w:r>
      <w:r w:rsidR="008834A1" w:rsidRPr="005C082A">
        <w:rPr>
          <w:szCs w:val="24"/>
          <w:lang w:val="hy-AM"/>
        </w:rPr>
        <w:t xml:space="preserve">են </w:t>
      </w:r>
      <w:r w:rsidRPr="005C082A">
        <w:rPr>
          <w:szCs w:val="24"/>
          <w:lang w:val="hy-AM"/>
        </w:rPr>
        <w:t xml:space="preserve">ասֆալտբետոնե ծածկույթի </w:t>
      </w:r>
      <w:r w:rsidR="00793918" w:rsidRPr="005C082A">
        <w:rPr>
          <w:szCs w:val="24"/>
          <w:lang w:val="hy-AM"/>
        </w:rPr>
        <w:t xml:space="preserve">վերին և </w:t>
      </w:r>
      <w:r w:rsidRPr="005C082A">
        <w:rPr>
          <w:szCs w:val="24"/>
          <w:lang w:val="hy-AM"/>
        </w:rPr>
        <w:t>ստորին շերտ</w:t>
      </w:r>
      <w:r w:rsidR="00793918" w:rsidRPr="005C082A">
        <w:rPr>
          <w:szCs w:val="24"/>
          <w:lang w:val="hy-AM"/>
        </w:rPr>
        <w:t>երի</w:t>
      </w:r>
      <w:r w:rsidRPr="005C082A">
        <w:rPr>
          <w:szCs w:val="24"/>
          <w:lang w:val="hy-AM"/>
        </w:rPr>
        <w:t xml:space="preserve"> տեղադրման աշխատանքներ </w:t>
      </w:r>
      <w:r w:rsidR="00793918" w:rsidRPr="005C082A">
        <w:rPr>
          <w:szCs w:val="24"/>
          <w:lang w:val="hy-AM"/>
        </w:rPr>
        <w:t>առանց</w:t>
      </w:r>
      <w:r w:rsidRPr="005C082A">
        <w:rPr>
          <w:szCs w:val="24"/>
          <w:lang w:val="hy-AM"/>
        </w:rPr>
        <w:t xml:space="preserve"> Տեխնիկական մասնագրերով պահանջվող լաբորատոր հետազոտության</w:t>
      </w:r>
      <w:r w:rsidR="00793918" w:rsidRPr="005C082A">
        <w:rPr>
          <w:szCs w:val="24"/>
          <w:lang w:val="hy-AM"/>
        </w:rPr>
        <w:t xml:space="preserve">, </w:t>
      </w:r>
      <w:r w:rsidRPr="005C082A">
        <w:rPr>
          <w:szCs w:val="24"/>
          <w:lang w:val="hy-AM"/>
        </w:rPr>
        <w:t>սակայն Ծրագ</w:t>
      </w:r>
      <w:r w:rsidR="008834A1" w:rsidRPr="005C082A">
        <w:rPr>
          <w:szCs w:val="24"/>
          <w:lang w:val="hy-AM"/>
        </w:rPr>
        <w:t>ր</w:t>
      </w:r>
      <w:r w:rsidRPr="005C082A">
        <w:rPr>
          <w:szCs w:val="24"/>
          <w:lang w:val="hy-AM"/>
        </w:rPr>
        <w:t xml:space="preserve">ի ղեկավարի  կողմից չի կատարվել Մասնագրի </w:t>
      </w:r>
      <w:r w:rsidRPr="005C082A">
        <w:rPr>
          <w:rFonts w:cs="Sylfaen"/>
          <w:szCs w:val="24"/>
          <w:lang w:val="hy-AM"/>
        </w:rPr>
        <w:t xml:space="preserve">005.01. </w:t>
      </w:r>
      <w:r w:rsidRPr="005C082A">
        <w:rPr>
          <w:szCs w:val="24"/>
          <w:lang w:val="hy-AM"/>
        </w:rPr>
        <w:t xml:space="preserve">d) կետով սահմանված պահանջներից </w:t>
      </w:r>
      <w:r w:rsidR="00A40814" w:rsidRPr="005C082A">
        <w:rPr>
          <w:szCs w:val="24"/>
          <w:lang w:val="hy-AM"/>
        </w:rPr>
        <w:t xml:space="preserve">ոչ </w:t>
      </w:r>
      <w:r w:rsidRPr="005C082A">
        <w:rPr>
          <w:szCs w:val="24"/>
          <w:lang w:val="hy-AM"/>
        </w:rPr>
        <w:t>մեկը։</w:t>
      </w:r>
    </w:p>
    <w:p w14:paraId="5A3659F6" w14:textId="6AA7D8B5" w:rsidR="001035B2" w:rsidRPr="00C82870" w:rsidRDefault="001035B2" w:rsidP="00FF16B1">
      <w:pPr>
        <w:spacing w:before="240" w:after="0"/>
        <w:ind w:firstLine="567"/>
        <w:rPr>
          <w:b/>
          <w:sz w:val="20"/>
          <w:szCs w:val="20"/>
          <w:lang w:val="hy-AM"/>
        </w:rPr>
      </w:pPr>
      <w:r w:rsidRPr="00C82870">
        <w:rPr>
          <w:b/>
          <w:sz w:val="20"/>
          <w:szCs w:val="20"/>
          <w:lang w:val="hy-AM"/>
        </w:rPr>
        <w:t>Հաշվեքննության օբյեկտի առարկությունները և բացատրությունները։</w:t>
      </w:r>
    </w:p>
    <w:p w14:paraId="446BC360" w14:textId="77777777" w:rsidR="009122EC" w:rsidRPr="00C82870" w:rsidRDefault="009122EC" w:rsidP="00FF16B1">
      <w:pPr>
        <w:ind w:firstLine="567"/>
        <w:rPr>
          <w:sz w:val="20"/>
          <w:szCs w:val="20"/>
          <w:lang w:val="hy-AM"/>
        </w:rPr>
      </w:pPr>
      <w:r w:rsidRPr="00C82870">
        <w:rPr>
          <w:sz w:val="20"/>
          <w:szCs w:val="20"/>
          <w:lang w:val="hy-AM"/>
        </w:rPr>
        <w:t>Նշված ամսաթվերն ընդգրկող ժամանակահատվածի համար խորհրդատուն տրամադրել է թիվ CW-NCB-LRNIP-AF-2019/4 պայմանագրով նախատեսված աշխատանքների կատարման մասին եզրակացություններ, որոնց համաձայն, կատարված աշխատանքների որակն ու տեխնոլոգիական հաջորդականությունը համապատասխանել են Պայմանագրի, Ճանապարհի վերականգնման նախագծի և Պայմանագրի մաս հանդիսացող Տեխնիկական մասնագրերի պահանջներին,  ապահովված են եղել  շին</w:t>
      </w:r>
      <w:r w:rsidRPr="00C82870">
        <w:rPr>
          <w:rFonts w:ascii="Cambria Math" w:hAnsi="Cambria Math" w:cs="Cambria Math"/>
          <w:sz w:val="20"/>
          <w:szCs w:val="20"/>
          <w:lang w:val="hy-AM"/>
        </w:rPr>
        <w:t>․</w:t>
      </w:r>
      <w:r w:rsidRPr="00C82870">
        <w:rPr>
          <w:sz w:val="20"/>
          <w:szCs w:val="20"/>
          <w:lang w:val="hy-AM"/>
        </w:rPr>
        <w:t xml:space="preserve"> աշխատանքներում պահանջվող քանակով և հաճախականությամբ լաբորատոր փորձարկումների իրականացումը։</w:t>
      </w:r>
    </w:p>
    <w:p w14:paraId="75331CED" w14:textId="77777777" w:rsidR="009122EC" w:rsidRPr="00C82870" w:rsidRDefault="009122EC" w:rsidP="00FF16B1">
      <w:pPr>
        <w:ind w:firstLine="567"/>
        <w:rPr>
          <w:sz w:val="20"/>
          <w:szCs w:val="20"/>
          <w:lang w:val="hy-AM"/>
        </w:rPr>
      </w:pPr>
      <w:r w:rsidRPr="00C82870">
        <w:rPr>
          <w:sz w:val="20"/>
          <w:szCs w:val="20"/>
          <w:lang w:val="hy-AM"/>
        </w:rPr>
        <w:lastRenderedPageBreak/>
        <w:t>Հիմք ընդունելով վերը նշվածը՝ Ծրագրի ղեկավարի կողմից նշված պահանջների կատարման անհրաժեշտություն չի դիտարկվել։</w:t>
      </w:r>
    </w:p>
    <w:p w14:paraId="44E9B53F" w14:textId="77777777" w:rsidR="009122EC" w:rsidRPr="00C82870" w:rsidRDefault="009122EC" w:rsidP="00FF16B1">
      <w:pPr>
        <w:ind w:firstLine="567"/>
        <w:rPr>
          <w:sz w:val="20"/>
          <w:szCs w:val="20"/>
          <w:lang w:val="hy-AM"/>
        </w:rPr>
      </w:pPr>
      <w:r w:rsidRPr="00C82870">
        <w:rPr>
          <w:sz w:val="20"/>
          <w:szCs w:val="20"/>
          <w:lang w:val="hy-AM"/>
        </w:rPr>
        <w:t>Նշված եզրկացությունները (թիվ 2, թիվ 3 և թիվ 4) տրամադրվել են ՀՊ-ին։</w:t>
      </w:r>
    </w:p>
    <w:p w14:paraId="443189B8" w14:textId="54DB032F" w:rsidR="009122EC" w:rsidRPr="00C82870" w:rsidRDefault="009122EC" w:rsidP="00FF16B1">
      <w:pPr>
        <w:spacing w:before="240" w:after="0"/>
        <w:ind w:firstLine="567"/>
        <w:rPr>
          <w:b/>
          <w:sz w:val="20"/>
          <w:szCs w:val="20"/>
          <w:lang w:val="hy-AM"/>
        </w:rPr>
      </w:pPr>
      <w:r w:rsidRPr="00C82870">
        <w:rPr>
          <w:sz w:val="20"/>
          <w:szCs w:val="20"/>
          <w:lang w:val="hy-AM"/>
        </w:rPr>
        <w:t>Հարկ է նշել նաև որ առկա են իջատեղերի համար ԱԲԳ-ից և չխտացված պատվածքից վերցված նմուշների լաբ</w:t>
      </w:r>
      <w:r w:rsidRPr="00C82870">
        <w:rPr>
          <w:rFonts w:ascii="Cambria Math" w:hAnsi="Cambria Math" w:cs="Cambria Math"/>
          <w:sz w:val="20"/>
          <w:szCs w:val="20"/>
          <w:lang w:val="hy-AM"/>
        </w:rPr>
        <w:t>․</w:t>
      </w:r>
      <w:r w:rsidRPr="00C82870">
        <w:rPr>
          <w:sz w:val="20"/>
          <w:szCs w:val="20"/>
          <w:lang w:val="hy-AM"/>
        </w:rPr>
        <w:t>փորձարկման արձանագրություններ (նմուշառման ամսաթիվը 21</w:t>
      </w:r>
      <w:r w:rsidRPr="00C82870">
        <w:rPr>
          <w:rFonts w:ascii="Cambria Math" w:hAnsi="Cambria Math" w:cs="Cambria Math"/>
          <w:sz w:val="20"/>
          <w:szCs w:val="20"/>
          <w:lang w:val="hy-AM"/>
        </w:rPr>
        <w:t>․</w:t>
      </w:r>
      <w:r w:rsidRPr="00C82870">
        <w:rPr>
          <w:sz w:val="20"/>
          <w:szCs w:val="20"/>
          <w:lang w:val="hy-AM"/>
        </w:rPr>
        <w:t>11</w:t>
      </w:r>
      <w:r w:rsidRPr="00C82870">
        <w:rPr>
          <w:rFonts w:ascii="Cambria Math" w:hAnsi="Cambria Math" w:cs="Cambria Math"/>
          <w:sz w:val="20"/>
          <w:szCs w:val="20"/>
          <w:lang w:val="hy-AM"/>
        </w:rPr>
        <w:t>․</w:t>
      </w:r>
      <w:r w:rsidRPr="00C82870">
        <w:rPr>
          <w:sz w:val="20"/>
          <w:szCs w:val="20"/>
          <w:lang w:val="hy-AM"/>
        </w:rPr>
        <w:t>2019թ</w:t>
      </w:r>
      <w:r w:rsidRPr="00C82870">
        <w:rPr>
          <w:rFonts w:ascii="Cambria Math" w:hAnsi="Cambria Math" w:cs="Cambria Math"/>
          <w:sz w:val="20"/>
          <w:szCs w:val="20"/>
          <w:lang w:val="hy-AM"/>
        </w:rPr>
        <w:t>․</w:t>
      </w:r>
      <w:r w:rsidRPr="00C82870">
        <w:rPr>
          <w:sz w:val="20"/>
          <w:szCs w:val="20"/>
          <w:lang w:val="hy-AM"/>
        </w:rPr>
        <w:t>)։</w:t>
      </w:r>
    </w:p>
    <w:p w14:paraId="7226144C" w14:textId="7EBF9A93" w:rsidR="001035B2" w:rsidRPr="00C82870" w:rsidRDefault="001035B2" w:rsidP="00FF16B1">
      <w:pPr>
        <w:spacing w:before="240" w:after="0"/>
        <w:ind w:firstLine="567"/>
        <w:rPr>
          <w:b/>
          <w:sz w:val="20"/>
          <w:szCs w:val="20"/>
          <w:lang w:val="hy-AM"/>
        </w:rPr>
      </w:pPr>
      <w:r w:rsidRPr="00C82870">
        <w:rPr>
          <w:b/>
          <w:sz w:val="20"/>
          <w:szCs w:val="20"/>
          <w:lang w:val="hy-AM"/>
        </w:rPr>
        <w:t>Հաշվեքննողի մեկնաբանությունը։</w:t>
      </w:r>
    </w:p>
    <w:p w14:paraId="5356310D" w14:textId="0CC62208" w:rsidR="001035B2" w:rsidRPr="00FF16B1" w:rsidRDefault="002E17C1" w:rsidP="00FF16B1">
      <w:pPr>
        <w:spacing w:before="240" w:after="0"/>
        <w:ind w:firstLine="567"/>
        <w:rPr>
          <w:sz w:val="20"/>
          <w:szCs w:val="20"/>
          <w:lang w:val="hy-AM"/>
        </w:rPr>
      </w:pPr>
      <w:r w:rsidRPr="00C82870">
        <w:rPr>
          <w:sz w:val="20"/>
          <w:szCs w:val="20"/>
          <w:lang w:val="hy-AM"/>
        </w:rPr>
        <w:t>Չի ընդունվում քանի որ հ</w:t>
      </w:r>
      <w:r w:rsidR="00C1257F" w:rsidRPr="00FF16B1">
        <w:rPr>
          <w:sz w:val="20"/>
          <w:szCs w:val="20"/>
          <w:lang w:val="hy-AM"/>
        </w:rPr>
        <w:t>ղում չի արվել այն իրավական ակտ</w:t>
      </w:r>
      <w:r w:rsidR="00FD65BA" w:rsidRPr="00FF16B1">
        <w:rPr>
          <w:sz w:val="20"/>
          <w:szCs w:val="20"/>
          <w:lang w:val="hy-AM"/>
        </w:rPr>
        <w:t>երի</w:t>
      </w:r>
      <w:r w:rsidR="00C1257F" w:rsidRPr="00FF16B1">
        <w:rPr>
          <w:sz w:val="20"/>
          <w:szCs w:val="20"/>
          <w:lang w:val="hy-AM"/>
        </w:rPr>
        <w:t xml:space="preserve">ն, որով </w:t>
      </w:r>
      <w:r w:rsidR="00FD65BA" w:rsidRPr="00FF16B1">
        <w:rPr>
          <w:sz w:val="20"/>
          <w:szCs w:val="20"/>
          <w:lang w:val="hy-AM"/>
        </w:rPr>
        <w:t>Ծրագրի ղեկավարին իրավունք է վերապահված չեղարկելու</w:t>
      </w:r>
      <w:r w:rsidR="00C1257F" w:rsidRPr="00FF16B1">
        <w:rPr>
          <w:sz w:val="20"/>
          <w:szCs w:val="20"/>
          <w:lang w:val="hy-AM"/>
        </w:rPr>
        <w:t xml:space="preserve"> Տեխնիկական մասնագրի պահանջները </w:t>
      </w:r>
      <w:r w:rsidR="00FD65BA" w:rsidRPr="00FF16B1">
        <w:rPr>
          <w:sz w:val="20"/>
          <w:szCs w:val="20"/>
          <w:lang w:val="hy-AM"/>
        </w:rPr>
        <w:t>և/կամ որ</w:t>
      </w:r>
      <w:r w:rsidR="00C1257F" w:rsidRPr="00FF16B1">
        <w:rPr>
          <w:sz w:val="20"/>
          <w:szCs w:val="20"/>
          <w:lang w:val="hy-AM"/>
        </w:rPr>
        <w:t xml:space="preserve"> </w:t>
      </w:r>
      <w:r w:rsidR="009122EC" w:rsidRPr="00FF16B1">
        <w:rPr>
          <w:sz w:val="20"/>
          <w:szCs w:val="20"/>
          <w:lang w:val="hy-AM"/>
        </w:rPr>
        <w:t xml:space="preserve">Խորհրդատուի տրամադրած աշխատանքների կատարման մասին եզրակացությունները չեղարկում </w:t>
      </w:r>
      <w:r w:rsidR="00C1257F" w:rsidRPr="00FF16B1">
        <w:rPr>
          <w:sz w:val="20"/>
          <w:szCs w:val="20"/>
          <w:lang w:val="hy-AM"/>
        </w:rPr>
        <w:t xml:space="preserve">են </w:t>
      </w:r>
      <w:r w:rsidR="00FD65BA" w:rsidRPr="00FF16B1">
        <w:rPr>
          <w:sz w:val="20"/>
          <w:szCs w:val="20"/>
          <w:lang w:val="hy-AM"/>
        </w:rPr>
        <w:t>Տ</w:t>
      </w:r>
      <w:r w:rsidR="009122EC" w:rsidRPr="00FF16B1">
        <w:rPr>
          <w:sz w:val="20"/>
          <w:szCs w:val="20"/>
          <w:lang w:val="hy-AM"/>
        </w:rPr>
        <w:t>եխնիկական մասնագրի պահանջները։</w:t>
      </w:r>
    </w:p>
    <w:p w14:paraId="117A4495" w14:textId="77777777" w:rsidR="00AE77DF" w:rsidRDefault="00AE77DF" w:rsidP="00CB7FEB">
      <w:pPr>
        <w:ind w:firstLine="567"/>
        <w:contextualSpacing/>
        <w:jc w:val="center"/>
        <w:rPr>
          <w:rFonts w:eastAsia="Times New Roman" w:cs="Calibri"/>
          <w:b/>
          <w:color w:val="000000"/>
          <w:szCs w:val="24"/>
          <w:u w:val="single"/>
          <w:lang w:val="hy-AM"/>
        </w:rPr>
      </w:pPr>
    </w:p>
    <w:p w14:paraId="215ACB39" w14:textId="1C5F5CDD" w:rsidR="005D44B2" w:rsidRPr="005C082A" w:rsidRDefault="005D44B2" w:rsidP="00CB7FEB">
      <w:pPr>
        <w:ind w:firstLine="567"/>
        <w:contextualSpacing/>
        <w:jc w:val="center"/>
        <w:rPr>
          <w:b/>
          <w:szCs w:val="24"/>
          <w:u w:val="single"/>
          <w:lang w:val="hy-AM"/>
        </w:rPr>
      </w:pPr>
      <w:r w:rsidRPr="005C082A">
        <w:rPr>
          <w:rFonts w:eastAsia="Times New Roman" w:cs="Calibri"/>
          <w:b/>
          <w:color w:val="000000"/>
          <w:szCs w:val="24"/>
          <w:u w:val="single"/>
          <w:lang w:val="hy-AM"/>
        </w:rPr>
        <w:t>Համաշխարհային բանկի աջակցությամբ իրականացվող Կենսական նշանակության ճանապարհացանցի բարելավման լրացուցիչ ծրագիրի շրջանակներում համակարգում և կառավարում (1049-11006)</w:t>
      </w:r>
    </w:p>
    <w:p w14:paraId="33331D54" w14:textId="063189A1" w:rsidR="005D44B2" w:rsidRPr="005C082A" w:rsidRDefault="00A40814" w:rsidP="00CB7FEB">
      <w:pPr>
        <w:ind w:firstLine="567"/>
        <w:rPr>
          <w:b/>
          <w:i/>
          <w:szCs w:val="24"/>
          <w:lang w:val="hy-AM"/>
        </w:rPr>
      </w:pPr>
      <w:r w:rsidRPr="005C082A">
        <w:rPr>
          <w:b/>
          <w:i/>
          <w:szCs w:val="24"/>
          <w:lang w:val="hy-AM"/>
        </w:rPr>
        <w:t>5.15</w:t>
      </w:r>
      <w:r w:rsidR="005D44B2" w:rsidRPr="005C082A">
        <w:rPr>
          <w:b/>
          <w:i/>
          <w:szCs w:val="24"/>
          <w:lang w:val="hy-AM"/>
        </w:rPr>
        <w:t xml:space="preserve"> Առկա է անհամապատասխանություն 16.03.2018-ին Տեքնիտալ («TECHNITAL S.p.A.») ընկերության միջև կնքված «TS-LRNIP-AF-Y2-2017» </w:t>
      </w:r>
      <w:r w:rsidRPr="005C082A">
        <w:rPr>
          <w:b/>
          <w:i/>
          <w:szCs w:val="24"/>
          <w:lang w:val="hy-AM"/>
        </w:rPr>
        <w:t>ՊԸՊ</w:t>
      </w:r>
      <w:r w:rsidR="005D44B2" w:rsidRPr="005C082A">
        <w:rPr>
          <w:b/>
          <w:i/>
          <w:szCs w:val="24"/>
          <w:lang w:val="hy-AM"/>
        </w:rPr>
        <w:t xml:space="preserve"> 28-րդ կետի 28.1 ենթակետի պահանջների հետ։</w:t>
      </w:r>
    </w:p>
    <w:p w14:paraId="4AF8EE44" w14:textId="35086DD1" w:rsidR="005D44B2" w:rsidRPr="005C082A" w:rsidRDefault="005D44B2" w:rsidP="00CB7FEB">
      <w:pPr>
        <w:ind w:firstLine="567"/>
        <w:rPr>
          <w:szCs w:val="24"/>
          <w:lang w:val="hy-AM"/>
        </w:rPr>
      </w:pPr>
      <w:r w:rsidRPr="005C082A">
        <w:rPr>
          <w:szCs w:val="24"/>
          <w:lang w:val="hy-AM"/>
        </w:rPr>
        <w:t xml:space="preserve">Համաձայն </w:t>
      </w:r>
      <w:r w:rsidR="00A40814" w:rsidRPr="005C082A">
        <w:rPr>
          <w:szCs w:val="24"/>
          <w:lang w:val="hy-AM"/>
        </w:rPr>
        <w:t>ՊԸՊ</w:t>
      </w:r>
      <w:r w:rsidRPr="005C082A">
        <w:rPr>
          <w:szCs w:val="24"/>
          <w:lang w:val="hy-AM"/>
        </w:rPr>
        <w:t xml:space="preserve"> 28-րդ կետի 28.1 ենթակետի՝ «Պատվիրատուի տրամադրած միջոցներով Խորհրդատուի կողմից ամբողջապես կամ մասնակի գնված սարքավորումները, մեքենաները և նյութերը հանդիսանում  են Պատվիրատուի սեփականությունը և պետք է համապատասխան ձևով մակնշված լինեն։ Պայմանագրի դադարեցման կամ ավարտի ժամանակ Խորհրդատուն պետք է Պատվիրատուին հասանելի դարձնի նման սարքավորումների, մեքենաների և նյութերի ցանկը և դրանք պետք է տնօրինի Պատվիրատուի հանձնարարականին համապատասխան»։</w:t>
      </w:r>
    </w:p>
    <w:p w14:paraId="14984C82" w14:textId="63B2EABB" w:rsidR="005D44B2" w:rsidRPr="005C082A" w:rsidRDefault="005D44B2" w:rsidP="00CB7FEB">
      <w:pPr>
        <w:ind w:firstLine="567"/>
        <w:rPr>
          <w:szCs w:val="24"/>
          <w:lang w:val="hy-AM"/>
        </w:rPr>
      </w:pPr>
      <w:r w:rsidRPr="005C082A">
        <w:rPr>
          <w:szCs w:val="24"/>
          <w:lang w:val="hy-AM"/>
        </w:rPr>
        <w:t xml:space="preserve">Համաձայն պայմանագրի «Փոխհատուցվող ծախսերի գնահատականներ» (“Reimbursable Expenses Cost Estimates”) հավելված D-ի «Փոխհատուցվող ծախսերի բացվածքը» ձև 4–ի 11-րդ, 13-րդ և 14-րդ տողերի պետք է գնվեին սարքավորումներ, գործիքներ, նյութեր ու այլ պարագաներ և ընկնող քաշի դեֆլեկտոմետր ընդհանուր 9,877.88 հազ. դրամ արժեքով՝ ներառյալ ԱԱՀ-ն։ Այս ծախսերի համար Պատվիրատուին ներկայացվել են հաշիվ-ապրանքագրեր 10,101.90 հազ. դրամ գումարի։ </w:t>
      </w:r>
    </w:p>
    <w:p w14:paraId="31BBD45F" w14:textId="390DCC0A" w:rsidR="005D44B2" w:rsidRDefault="005D44B2" w:rsidP="00CB7FEB">
      <w:pPr>
        <w:ind w:firstLine="567"/>
        <w:rPr>
          <w:szCs w:val="24"/>
          <w:lang w:val="hy-AM"/>
        </w:rPr>
      </w:pPr>
      <w:r w:rsidRPr="005C082A">
        <w:rPr>
          <w:szCs w:val="24"/>
          <w:lang w:val="hy-AM"/>
        </w:rPr>
        <w:lastRenderedPageBreak/>
        <w:t xml:space="preserve">Հաշվեքննության չեն ներկայացվել նշված սարքավորումների, գործիքների, նյութերի և այլ պարագաների՝ պատվիրատուին ներկայացված ցանկը և դրանց հետագա տնօրինման վերաբերյալ պատվիրատուի հանձնարարականները։ Դրանք հաշվառված չեն Նախարարության հաշվեկշռում։ </w:t>
      </w:r>
    </w:p>
    <w:p w14:paraId="35DA79B2" w14:textId="2C9A2142" w:rsidR="001035B2" w:rsidRPr="00C82870" w:rsidRDefault="001035B2" w:rsidP="00FF16B1">
      <w:pPr>
        <w:spacing w:before="240" w:after="0"/>
        <w:ind w:firstLine="567"/>
        <w:rPr>
          <w:b/>
          <w:sz w:val="20"/>
          <w:szCs w:val="20"/>
          <w:lang w:val="hy-AM"/>
        </w:rPr>
      </w:pPr>
      <w:r w:rsidRPr="00C82870">
        <w:rPr>
          <w:b/>
          <w:sz w:val="20"/>
          <w:szCs w:val="20"/>
          <w:lang w:val="hy-AM"/>
        </w:rPr>
        <w:t>Հաշվեքննության օբյեկտի առարկությունները և բացատրությունները։</w:t>
      </w:r>
    </w:p>
    <w:p w14:paraId="18A7A8D6" w14:textId="77777777" w:rsidR="001B50F7" w:rsidRPr="00C82870" w:rsidRDefault="001B50F7">
      <w:pPr>
        <w:ind w:firstLine="567"/>
        <w:rPr>
          <w:sz w:val="20"/>
          <w:szCs w:val="20"/>
          <w:lang w:val="hy-AM"/>
        </w:rPr>
      </w:pPr>
      <w:r w:rsidRPr="00C82870">
        <w:rPr>
          <w:sz w:val="20"/>
          <w:szCs w:val="20"/>
          <w:lang w:val="hy-AM"/>
        </w:rPr>
        <w:t>Պայմանագրի համաձայն, «Փոխհատուցվող ծախսերի նախահաշիվներ» (“Reimbursable Expenses Cost Estimates”) հավելված D-ի «Ձև 4</w:t>
      </w:r>
      <w:r w:rsidRPr="00C82870">
        <w:rPr>
          <w:rFonts w:ascii="Cambria Math" w:hAnsi="Cambria Math" w:cs="Cambria Math"/>
          <w:sz w:val="20"/>
          <w:szCs w:val="20"/>
          <w:lang w:val="hy-AM"/>
        </w:rPr>
        <w:t>․</w:t>
      </w:r>
      <w:r w:rsidRPr="00C82870">
        <w:rPr>
          <w:sz w:val="20"/>
          <w:szCs w:val="20"/>
          <w:lang w:val="hy-AM"/>
        </w:rPr>
        <w:t xml:space="preserve"> Փոխհատուցվող ծախսերի բացվածքը» աղյուսակի 11-րդ տողում նախատեսված է եղել  փոխահատուցում «սարքավորումներ, գործիքներ, նյութեր, մատակարարումներ և հաշվետվությունների թողարկում» ծախսերի համար՝ 10 ԱՄԻՍ ընդհանուր 2,905</w:t>
      </w:r>
      <w:r w:rsidRPr="00C82870">
        <w:rPr>
          <w:rFonts w:ascii="Cambria Math" w:hAnsi="Cambria Math" w:cs="Cambria Math"/>
          <w:sz w:val="20"/>
          <w:szCs w:val="20"/>
          <w:lang w:val="hy-AM"/>
        </w:rPr>
        <w:t>․</w:t>
      </w:r>
      <w:r w:rsidRPr="00C82870">
        <w:rPr>
          <w:sz w:val="20"/>
          <w:szCs w:val="20"/>
          <w:lang w:val="hy-AM"/>
        </w:rPr>
        <w:t>26 հազ</w:t>
      </w:r>
      <w:r w:rsidRPr="00C82870">
        <w:rPr>
          <w:rFonts w:ascii="Cambria Math" w:hAnsi="Cambria Math" w:cs="Cambria Math"/>
          <w:sz w:val="20"/>
          <w:szCs w:val="20"/>
          <w:lang w:val="hy-AM"/>
        </w:rPr>
        <w:t>․</w:t>
      </w:r>
      <w:r w:rsidRPr="00C82870">
        <w:rPr>
          <w:sz w:val="20"/>
          <w:szCs w:val="20"/>
          <w:lang w:val="hy-AM"/>
        </w:rPr>
        <w:t xml:space="preserve"> ՀՀ դրամ արժեքով (հետագայում, պայմանագրի փոփոխությամբ՝ 14 ԱՄԻՍ ընդհանուր 4,067</w:t>
      </w:r>
      <w:r w:rsidRPr="00C82870">
        <w:rPr>
          <w:rFonts w:ascii="Cambria Math" w:hAnsi="Cambria Math" w:cs="Cambria Math"/>
          <w:sz w:val="20"/>
          <w:szCs w:val="20"/>
          <w:lang w:val="hy-AM"/>
        </w:rPr>
        <w:t>․</w:t>
      </w:r>
      <w:r w:rsidRPr="00C82870">
        <w:rPr>
          <w:sz w:val="20"/>
          <w:szCs w:val="20"/>
          <w:lang w:val="hy-AM"/>
        </w:rPr>
        <w:t>364 հազ</w:t>
      </w:r>
      <w:r w:rsidRPr="00C82870">
        <w:rPr>
          <w:rFonts w:ascii="Cambria Math" w:hAnsi="Cambria Math" w:cs="Cambria Math"/>
          <w:sz w:val="20"/>
          <w:szCs w:val="20"/>
          <w:lang w:val="hy-AM"/>
        </w:rPr>
        <w:t>․</w:t>
      </w:r>
      <w:r w:rsidRPr="00C82870">
        <w:rPr>
          <w:sz w:val="20"/>
          <w:szCs w:val="20"/>
          <w:lang w:val="hy-AM"/>
        </w:rPr>
        <w:t xml:space="preserve"> ՀՀ դրան արժեքով)։</w:t>
      </w:r>
    </w:p>
    <w:p w14:paraId="7304C81F" w14:textId="77777777" w:rsidR="001B50F7" w:rsidRPr="00C82870" w:rsidRDefault="001B50F7">
      <w:pPr>
        <w:ind w:firstLine="567"/>
        <w:rPr>
          <w:sz w:val="20"/>
          <w:szCs w:val="20"/>
          <w:lang w:val="hy-AM"/>
        </w:rPr>
      </w:pPr>
      <w:r w:rsidRPr="00C82870">
        <w:rPr>
          <w:sz w:val="20"/>
          <w:szCs w:val="20"/>
          <w:lang w:val="hy-AM"/>
        </w:rPr>
        <w:t>Նույն հավելվածի 13-րդ և 14-րդ տողերով նախատեսված էր փոխհատուցում համապատասխանաբար «Միջազգային Անհարթության ինդեքս (ՄԱԻ)» և «Ընկնող քաշով դեֆլեկտոմետր (ԸՔԴ)» ծախսերի համար 5,810</w:t>
      </w:r>
      <w:r w:rsidRPr="00C82870">
        <w:rPr>
          <w:rFonts w:ascii="Cambria Math" w:hAnsi="Cambria Math" w:cs="Cambria Math"/>
          <w:sz w:val="20"/>
          <w:szCs w:val="20"/>
          <w:lang w:val="hy-AM"/>
        </w:rPr>
        <w:t>․</w:t>
      </w:r>
      <w:r w:rsidRPr="00C82870">
        <w:rPr>
          <w:sz w:val="20"/>
          <w:szCs w:val="20"/>
          <w:lang w:val="hy-AM"/>
        </w:rPr>
        <w:t>52-ական ՀՀ դրամ միանվագ վճարմամբ։</w:t>
      </w:r>
    </w:p>
    <w:p w14:paraId="197E37D0" w14:textId="77777777" w:rsidR="001B50F7" w:rsidRPr="00C82870" w:rsidRDefault="001B50F7">
      <w:pPr>
        <w:ind w:firstLine="567"/>
        <w:rPr>
          <w:sz w:val="20"/>
          <w:szCs w:val="20"/>
          <w:lang w:val="hy-AM"/>
        </w:rPr>
      </w:pPr>
      <w:r w:rsidRPr="00C82870">
        <w:rPr>
          <w:sz w:val="20"/>
          <w:szCs w:val="20"/>
          <w:lang w:val="hy-AM"/>
        </w:rPr>
        <w:t>Պայմնագրի մաս հանդիսացող հավելվածի նշված տողերը չեն հանդիսանում բացառապես սարքավորումների, նյութերի, գործիքների գնում, այլ ի թիվս այլ ծախսերի՝ ենթադրում են նաև խորհրդատուի աշխատանքներն իրականացնելու նպատակով որոշակի ծառայությունների մատուցման/մատակարարման և նմանատիպ բնույթի ծախսերի փոխհատուցում։</w:t>
      </w:r>
    </w:p>
    <w:p w14:paraId="1A2FE56E" w14:textId="77777777" w:rsidR="001B50F7" w:rsidRPr="00C82870" w:rsidRDefault="001B50F7">
      <w:pPr>
        <w:ind w:firstLine="567"/>
        <w:rPr>
          <w:sz w:val="20"/>
          <w:szCs w:val="20"/>
          <w:lang w:val="hy-AM"/>
        </w:rPr>
      </w:pPr>
      <w:r w:rsidRPr="00C82870">
        <w:rPr>
          <w:sz w:val="20"/>
          <w:szCs w:val="20"/>
          <w:lang w:val="hy-AM"/>
        </w:rPr>
        <w:t>Հարկ է նշել, որԿՆՃՑԲԾ ԼՖ, 2-րդ տարվա ճանապարհների երթ</w:t>
      </w:r>
      <w:r w:rsidRPr="00C82870">
        <w:rPr>
          <w:rFonts w:ascii="Cambria Math" w:hAnsi="Cambria Math" w:cs="Cambria Math"/>
          <w:sz w:val="20"/>
          <w:szCs w:val="20"/>
          <w:lang w:val="hy-AM"/>
        </w:rPr>
        <w:t>․</w:t>
      </w:r>
      <w:r w:rsidRPr="00C82870">
        <w:rPr>
          <w:sz w:val="20"/>
          <w:szCs w:val="20"/>
          <w:lang w:val="hy-AM"/>
        </w:rPr>
        <w:t xml:space="preserve"> մասի ամրության չափումներն առկա են։</w:t>
      </w:r>
    </w:p>
    <w:p w14:paraId="2FFAB98B" w14:textId="3A816FA6" w:rsidR="001B50F7" w:rsidRPr="00C82870" w:rsidRDefault="001B50F7" w:rsidP="00FF16B1">
      <w:pPr>
        <w:spacing w:before="240" w:after="0"/>
        <w:ind w:firstLine="567"/>
        <w:rPr>
          <w:b/>
          <w:sz w:val="20"/>
          <w:szCs w:val="20"/>
          <w:lang w:val="hy-AM"/>
        </w:rPr>
      </w:pPr>
      <w:r w:rsidRPr="00C82870">
        <w:rPr>
          <w:sz w:val="20"/>
          <w:szCs w:val="20"/>
          <w:lang w:val="hy-AM"/>
        </w:rPr>
        <w:t>Բարձրացված հարցի վերաբերյալ որոշակի պատկերացում ձևավորելու նպատակով՝ անհրաժեշտ է նշել նաև, որ ճանապարհային պատվածքի անհարթությունները չափող սարքավորման արժեքը կազմում է շուրջ 104</w:t>
      </w:r>
      <w:r w:rsidRPr="00C82870">
        <w:rPr>
          <w:rFonts w:ascii="Cambria Math" w:hAnsi="Cambria Math" w:cs="Cambria Math"/>
          <w:sz w:val="20"/>
          <w:szCs w:val="20"/>
          <w:lang w:val="hy-AM"/>
        </w:rPr>
        <w:t>․</w:t>
      </w:r>
      <w:r w:rsidRPr="00C82870">
        <w:rPr>
          <w:sz w:val="20"/>
          <w:szCs w:val="20"/>
          <w:lang w:val="hy-AM"/>
        </w:rPr>
        <w:t>0 մլն ՀՀ դրամ, իսկ ամրությունը չափող սարքավորման արժեքը՝ շուրջ 57</w:t>
      </w:r>
      <w:r w:rsidRPr="00C82870">
        <w:rPr>
          <w:rFonts w:ascii="Cambria Math" w:hAnsi="Cambria Math" w:cs="Cambria Math"/>
          <w:sz w:val="20"/>
          <w:szCs w:val="20"/>
          <w:lang w:val="hy-AM"/>
        </w:rPr>
        <w:t>․</w:t>
      </w:r>
      <w:r w:rsidRPr="00C82870">
        <w:rPr>
          <w:sz w:val="20"/>
          <w:szCs w:val="20"/>
          <w:lang w:val="hy-AM"/>
        </w:rPr>
        <w:t>0 հազ</w:t>
      </w:r>
      <w:r w:rsidRPr="00C82870">
        <w:rPr>
          <w:rFonts w:ascii="Cambria Math" w:hAnsi="Cambria Math" w:cs="Cambria Math"/>
          <w:sz w:val="20"/>
          <w:szCs w:val="20"/>
          <w:lang w:val="hy-AM"/>
        </w:rPr>
        <w:t>․</w:t>
      </w:r>
      <w:r w:rsidRPr="00C82870">
        <w:rPr>
          <w:sz w:val="20"/>
          <w:szCs w:val="20"/>
          <w:lang w:val="hy-AM"/>
        </w:rPr>
        <w:t xml:space="preserve"> եվրո։</w:t>
      </w:r>
    </w:p>
    <w:p w14:paraId="197B6866" w14:textId="77777777" w:rsidR="001035B2" w:rsidRPr="00C82870" w:rsidRDefault="001035B2" w:rsidP="00FF16B1">
      <w:pPr>
        <w:spacing w:before="240" w:after="0"/>
        <w:ind w:firstLine="567"/>
        <w:rPr>
          <w:b/>
          <w:sz w:val="20"/>
          <w:szCs w:val="20"/>
          <w:lang w:val="hy-AM"/>
        </w:rPr>
      </w:pPr>
      <w:r w:rsidRPr="00C82870">
        <w:rPr>
          <w:b/>
          <w:sz w:val="20"/>
          <w:szCs w:val="20"/>
          <w:lang w:val="hy-AM"/>
        </w:rPr>
        <w:t>Հաշվեքննողի մեկնաբանությունը։</w:t>
      </w:r>
    </w:p>
    <w:p w14:paraId="38349D37" w14:textId="7E37B06E" w:rsidR="00B01F1B" w:rsidRPr="00FF16B1" w:rsidRDefault="001B50F7" w:rsidP="00FF16B1">
      <w:pPr>
        <w:ind w:firstLine="567"/>
        <w:rPr>
          <w:sz w:val="20"/>
          <w:szCs w:val="20"/>
          <w:lang w:val="hy-AM"/>
        </w:rPr>
      </w:pPr>
      <w:r w:rsidRPr="00FF16B1">
        <w:rPr>
          <w:sz w:val="20"/>
          <w:szCs w:val="20"/>
          <w:lang w:val="hy-AM"/>
        </w:rPr>
        <w:t>Չի</w:t>
      </w:r>
      <w:r w:rsidR="003F6339" w:rsidRPr="00FF16B1">
        <w:rPr>
          <w:sz w:val="20"/>
          <w:szCs w:val="20"/>
          <w:lang w:val="hy-AM"/>
        </w:rPr>
        <w:t xml:space="preserve"> </w:t>
      </w:r>
      <w:r w:rsidRPr="00FF16B1">
        <w:rPr>
          <w:sz w:val="20"/>
          <w:szCs w:val="20"/>
          <w:lang w:val="hy-AM"/>
        </w:rPr>
        <w:t xml:space="preserve">ընդունվում քանի որ </w:t>
      </w:r>
      <w:r w:rsidR="00B01F1B" w:rsidRPr="00FF16B1">
        <w:rPr>
          <w:sz w:val="20"/>
          <w:szCs w:val="20"/>
          <w:lang w:val="hy-AM"/>
        </w:rPr>
        <w:t>հաշվեքննության օբյեկտը հղում չի կատարել պայմանագրի որևէ կիրառելի դրույթի, որով կարող էր հիմնավորվել՝ «Պայմանագրի մաս կազմող հավելվածի նշված տողը չի հանդիսանում բացառապես սարքավորումների, նյութերի, գործիքների գնում, այլ ի թիվս այլ ծախսերի՝ ենթադրում է նաև խորհրդատուի աշխատանքներն իրականացնելու նպատակով որոշակի ծառայությունների մատուցման/մատակարարման և նմանատիպ բնույթի ծախսերի փոխհատուցում։» լրացուցիչ ծառայությունների և դրանց փոխհատուցման վերաբերյալ արված ենթադրությունը։</w:t>
      </w:r>
    </w:p>
    <w:p w14:paraId="59A937E5" w14:textId="0006C147" w:rsidR="005D44B2" w:rsidRPr="005C082A" w:rsidRDefault="005D44B2" w:rsidP="007A19F5">
      <w:pPr>
        <w:ind w:firstLine="0"/>
        <w:rPr>
          <w:b/>
          <w:szCs w:val="24"/>
          <w:u w:val="single"/>
          <w:lang w:val="hy-AM"/>
        </w:rPr>
      </w:pPr>
      <w:r w:rsidRPr="005C082A">
        <w:rPr>
          <w:b/>
          <w:szCs w:val="24"/>
          <w:u w:val="single"/>
          <w:lang w:val="hy-AM"/>
        </w:rPr>
        <w:t xml:space="preserve">Համաշխարհային բանկի աջակցությամբ իրականացվող Կենսական նշանակության ճանապարհացանցի բարելավման ծրագիր </w:t>
      </w:r>
    </w:p>
    <w:p w14:paraId="4BD22475" w14:textId="19D6D00D" w:rsidR="005D44B2" w:rsidRPr="005C082A" w:rsidRDefault="005D44B2" w:rsidP="00CB7FEB">
      <w:pPr>
        <w:ind w:firstLine="567"/>
        <w:rPr>
          <w:b/>
          <w:i/>
          <w:szCs w:val="24"/>
          <w:lang w:val="hy-AM"/>
        </w:rPr>
      </w:pPr>
      <w:r w:rsidRPr="005C082A">
        <w:rPr>
          <w:b/>
          <w:i/>
          <w:szCs w:val="24"/>
          <w:lang w:val="hy-AM"/>
        </w:rPr>
        <w:lastRenderedPageBreak/>
        <w:t>5.1</w:t>
      </w:r>
      <w:r w:rsidR="00002242" w:rsidRPr="00FF16B1">
        <w:rPr>
          <w:b/>
          <w:i/>
          <w:szCs w:val="24"/>
          <w:lang w:val="hy-AM"/>
        </w:rPr>
        <w:t>6</w:t>
      </w:r>
      <w:r w:rsidR="00785D41" w:rsidRPr="005C082A">
        <w:rPr>
          <w:b/>
          <w:i/>
          <w:szCs w:val="24"/>
          <w:lang w:val="hy-AM"/>
        </w:rPr>
        <w:t>.</w:t>
      </w:r>
      <w:r w:rsidRPr="005C082A">
        <w:rPr>
          <w:b/>
          <w:i/>
          <w:szCs w:val="24"/>
          <w:lang w:val="hy-AM"/>
        </w:rPr>
        <w:t xml:space="preserve"> Առկա է անհամապատասխանություն 25.09.2017-ին «Siemens AG OSTERREICH»-ի հետ կնքված երթևեկության հաշվիչների մատակարարման՝ «ICB-LRNIP-G/2017-TC» պայմանագրի</w:t>
      </w:r>
      <w:r w:rsidRPr="005C082A">
        <w:rPr>
          <w:i/>
          <w:szCs w:val="24"/>
          <w:lang w:val="hy-AM"/>
        </w:rPr>
        <w:t xml:space="preserve"> </w:t>
      </w:r>
      <w:r w:rsidRPr="005C082A">
        <w:rPr>
          <w:b/>
          <w:i/>
          <w:szCs w:val="24"/>
          <w:lang w:val="hy-AM"/>
        </w:rPr>
        <w:t>34.2-րդ կետի պահանջների հետ։</w:t>
      </w:r>
    </w:p>
    <w:p w14:paraId="57CD754B" w14:textId="77777777" w:rsidR="005D44B2" w:rsidRPr="005C082A" w:rsidRDefault="005D44B2" w:rsidP="00CB7FEB">
      <w:pPr>
        <w:ind w:firstLine="567"/>
        <w:rPr>
          <w:szCs w:val="24"/>
          <w:lang w:val="hy-AM"/>
        </w:rPr>
      </w:pPr>
      <w:r w:rsidRPr="005C082A">
        <w:rPr>
          <w:szCs w:val="24"/>
          <w:lang w:val="hy-AM"/>
        </w:rPr>
        <w:t xml:space="preserve">Համաձայն պայմանագրի 34.2 կետի պահանջի բացի ՊԸՊ կետ 32-ով սահմանված ֆորս մաժորային իրադարձություններից, մատակարարի կողմից առաքման և ավարտման պարտավորությունների կատարման ուշացումը ՊԸՊ կետ 26-ի համաձայն առաջ է բերում վնասի փոխհատուցում վերջինիս կողմից, բացառությամբ այն դեպքի, երբ ՊԸՊ 34.1 կետով ժամկետի երկարաձգումը համաձայնեցված է։ </w:t>
      </w:r>
    </w:p>
    <w:p w14:paraId="7253A57F" w14:textId="77777777" w:rsidR="005D44B2" w:rsidRPr="005C082A" w:rsidRDefault="005D44B2" w:rsidP="00CB7FEB">
      <w:pPr>
        <w:ind w:firstLine="567"/>
        <w:rPr>
          <w:szCs w:val="24"/>
          <w:lang w:val="hy-AM"/>
        </w:rPr>
      </w:pPr>
      <w:r w:rsidRPr="005C082A">
        <w:rPr>
          <w:szCs w:val="24"/>
          <w:lang w:val="hy-AM"/>
        </w:rPr>
        <w:t>Համաձայն պայմանագրի 34-րդ կետի 34.1 ենթակետի՝ «եթե Պայմանագրի իրականացման ժամանակ մատակարարը հանդիպում է Ապրանքների ժամանակին առաքմանը կամ Ծառայությունների մատուցմանը խոչընդոտող պայմանների, Մատակարարը պետք է շտապ գրավոր կերպով տեղյակ պահի Գնորդին ուշացման փաստի, նրա հնարավոր տևողության և պատճառների մասին։ Մատակարարի ծանուցումը ստանալուց հետո, Գնորդը հնարավորինս արագ պետք է գնահատի իրավիճակը և կարող է իր հայեցողությամբ երկարացնել Մատակարարի աշխատանքի ժամկետը, որի դեպքում երկարացումը պետք է վավերացվի երկու կողմերի կողմից՝ Պայմանագրի փոփոխման միջոցով»։</w:t>
      </w:r>
    </w:p>
    <w:p w14:paraId="14D7C91F" w14:textId="09983A1A" w:rsidR="00A525C7" w:rsidRPr="005C082A" w:rsidRDefault="00A525C7" w:rsidP="00A525C7">
      <w:pPr>
        <w:ind w:firstLine="567"/>
        <w:rPr>
          <w:szCs w:val="24"/>
          <w:lang w:val="hy-AM"/>
        </w:rPr>
      </w:pPr>
      <w:r w:rsidRPr="005C082A">
        <w:rPr>
          <w:szCs w:val="24"/>
          <w:lang w:val="hy-AM"/>
        </w:rPr>
        <w:t>Պայմանագրով ապրանքների մատակարարման վերջնաժամկետը սահմանվել է պայմանագրի կնքումից 100 օր հետո՝ 03.01.2018թ։</w:t>
      </w:r>
    </w:p>
    <w:p w14:paraId="523CB08F" w14:textId="1EB3C727" w:rsidR="005D44B2" w:rsidRPr="005C082A" w:rsidRDefault="005D44B2" w:rsidP="00CB7FEB">
      <w:pPr>
        <w:ind w:firstLine="567"/>
        <w:rPr>
          <w:szCs w:val="24"/>
          <w:lang w:val="hy-AM"/>
        </w:rPr>
      </w:pPr>
      <w:r w:rsidRPr="005C082A">
        <w:rPr>
          <w:szCs w:val="24"/>
          <w:lang w:val="hy-AM"/>
        </w:rPr>
        <w:t>Պայմանագրով սահմանված վերջնաժամկետում՝ 03.01.2018թ-ի դրությամբ մատակարարի կողմից որևէ ապրանք չի մատակարարվել։ 23.02.2018-ին՝ պայմանագրով սահմանված վերջնաժամկետից 51 օր անց, կազմվել է Փոփոխություն №1-ը, որով փոփոխվել է</w:t>
      </w:r>
      <w:r w:rsidR="00A525C7" w:rsidRPr="005C082A">
        <w:rPr>
          <w:szCs w:val="24"/>
          <w:lang w:val="hy-AM"/>
        </w:rPr>
        <w:t xml:space="preserve"> </w:t>
      </w:r>
      <w:r w:rsidRPr="005C082A">
        <w:rPr>
          <w:szCs w:val="24"/>
          <w:lang w:val="hy-AM"/>
        </w:rPr>
        <w:t>մատակարարման ժամկետը՝ նոր ժամկետ սահմանելով ՊՀՊ-ի 16.1 կետի (ii) ենթակետում նշված գումարի փոխանցման օրվանից մինչև 2 շաբաթը։</w:t>
      </w:r>
    </w:p>
    <w:p w14:paraId="7D4E3B02" w14:textId="77777777" w:rsidR="005D44B2" w:rsidRPr="005C082A" w:rsidRDefault="005D44B2" w:rsidP="00CB7FEB">
      <w:pPr>
        <w:ind w:firstLine="567"/>
        <w:rPr>
          <w:szCs w:val="24"/>
          <w:lang w:val="hy-AM"/>
        </w:rPr>
      </w:pPr>
      <w:r w:rsidRPr="005C082A">
        <w:rPr>
          <w:szCs w:val="24"/>
          <w:lang w:val="hy-AM"/>
        </w:rPr>
        <w:t>Նշված գումարը փոխանցվել է 14.03.2018թ-ին, իսկ ապրանքները մատակարարվել են 18.04.2018-ին կամ Փոփոխությամբ սահմանված 2 շաբաթից 3 շաբաթ ուշացումով։</w:t>
      </w:r>
    </w:p>
    <w:p w14:paraId="3D3AAC7F" w14:textId="5CAF049A" w:rsidR="005D44B2" w:rsidRDefault="005D44B2" w:rsidP="00CB7FEB">
      <w:pPr>
        <w:ind w:firstLine="567"/>
        <w:rPr>
          <w:szCs w:val="24"/>
          <w:lang w:val="hy-AM"/>
        </w:rPr>
      </w:pPr>
      <w:r w:rsidRPr="005C082A">
        <w:rPr>
          <w:szCs w:val="24"/>
          <w:lang w:val="hy-AM"/>
        </w:rPr>
        <w:t xml:space="preserve">Այսպիսով պայմանագրի ժամկետի փոփոխության համար պայմանագրի 32-րդ և 34-րդ կետերով սահմանված իրադարձությունների բացակայության պայմաններում կատարելով պայմանագրի ժամկետի երկարացում չի հաշվարկվել </w:t>
      </w:r>
      <w:r w:rsidRPr="005C082A">
        <w:rPr>
          <w:szCs w:val="24"/>
          <w:lang w:val="hy-AM"/>
        </w:rPr>
        <w:lastRenderedPageBreak/>
        <w:t xml:space="preserve">պայմանագրով սահմանված «լիկվիդացման վնասը» (liquidated damages) և չի կատարվել  նվազեցում </w:t>
      </w:r>
      <w:r w:rsidRPr="005C082A">
        <w:rPr>
          <w:b/>
          <w:i/>
          <w:szCs w:val="24"/>
          <w:u w:val="single"/>
          <w:lang w:val="hy-AM"/>
        </w:rPr>
        <w:t>2,693.55 եվրոի չափով</w:t>
      </w:r>
      <w:r w:rsidRPr="005C082A">
        <w:rPr>
          <w:szCs w:val="24"/>
          <w:lang w:val="hy-AM"/>
        </w:rPr>
        <w:t>։</w:t>
      </w:r>
    </w:p>
    <w:p w14:paraId="4001B070" w14:textId="77777777" w:rsidR="002A111D" w:rsidRPr="00C82870" w:rsidRDefault="001035B2" w:rsidP="00FF16B1">
      <w:pPr>
        <w:ind w:firstLine="567"/>
        <w:rPr>
          <w:sz w:val="20"/>
          <w:szCs w:val="20"/>
          <w:lang w:val="hy-AM"/>
        </w:rPr>
      </w:pPr>
      <w:r w:rsidRPr="00C82870">
        <w:rPr>
          <w:b/>
          <w:sz w:val="20"/>
          <w:szCs w:val="20"/>
          <w:lang w:val="hy-AM"/>
        </w:rPr>
        <w:t>Հաշվեքննության օբյեկտի առարկությունները և բացատրությունները։</w:t>
      </w:r>
      <w:r w:rsidR="002A111D" w:rsidRPr="00C82870">
        <w:rPr>
          <w:sz w:val="20"/>
          <w:szCs w:val="20"/>
          <w:lang w:val="hy-AM"/>
        </w:rPr>
        <w:t xml:space="preserve"> </w:t>
      </w:r>
    </w:p>
    <w:p w14:paraId="2A542710" w14:textId="21832A7D" w:rsidR="002A111D" w:rsidRPr="00C82870" w:rsidRDefault="002A111D" w:rsidP="00FF16B1">
      <w:pPr>
        <w:ind w:firstLine="567"/>
        <w:rPr>
          <w:sz w:val="20"/>
          <w:szCs w:val="20"/>
          <w:lang w:val="hy-AM"/>
        </w:rPr>
      </w:pPr>
      <w:r w:rsidRPr="00C82870">
        <w:rPr>
          <w:sz w:val="20"/>
          <w:szCs w:val="20"/>
          <w:lang w:val="hy-AM"/>
        </w:rPr>
        <w:t>ՊՈԱԿ-ի և «SIEMENS» AG OSTERREICH (AUSTRIA) միջև կնքվել է ճանապարհային հաշվիչների (traffic counters) մատակարարման N ICB-LRNIP-G/2017-TC պայմանագիրը 179,570.0 եվրո ընդհանուր գումարով:</w:t>
      </w:r>
    </w:p>
    <w:p w14:paraId="796B57B1" w14:textId="77777777" w:rsidR="002A111D" w:rsidRPr="00C82870" w:rsidRDefault="002A111D" w:rsidP="00FF16B1">
      <w:pPr>
        <w:ind w:firstLine="567"/>
        <w:rPr>
          <w:sz w:val="20"/>
          <w:szCs w:val="20"/>
          <w:lang w:val="hy-AM"/>
        </w:rPr>
      </w:pPr>
      <w:r w:rsidRPr="00C82870">
        <w:rPr>
          <w:sz w:val="20"/>
          <w:szCs w:val="20"/>
          <w:lang w:val="hy-AM"/>
        </w:rPr>
        <w:t>Ապրանքները մատակարարվել են 2 շաբաթ ուշացումով, որի դիմաց  Պայմանագրի GCC 27.1 կետի համաձայն կատարվել է պահում 359.14  եվրո գումարի չափով:</w:t>
      </w:r>
    </w:p>
    <w:p w14:paraId="26101B10" w14:textId="77777777" w:rsidR="002A111D" w:rsidRPr="00C82870" w:rsidRDefault="002A111D" w:rsidP="00FF16B1">
      <w:pPr>
        <w:ind w:firstLine="567"/>
        <w:rPr>
          <w:sz w:val="20"/>
          <w:szCs w:val="20"/>
          <w:lang w:val="hy-AM"/>
        </w:rPr>
      </w:pPr>
      <w:r w:rsidRPr="00C82870">
        <w:rPr>
          <w:sz w:val="20"/>
          <w:szCs w:val="20"/>
          <w:lang w:val="hy-AM"/>
        </w:rPr>
        <w:t>Անհրաժեշտ է նշել, որ անհամապատասխանության արձանագրությունում նշված են ամսաթվեր, որոնք որևէ կերպ համադրելի չեն 15</w:t>
      </w:r>
      <w:r w:rsidRPr="00C82870">
        <w:rPr>
          <w:rFonts w:ascii="Cambria Math" w:hAnsi="Cambria Math" w:cs="Cambria Math"/>
          <w:sz w:val="20"/>
          <w:szCs w:val="20"/>
          <w:lang w:val="hy-AM"/>
        </w:rPr>
        <w:t>․</w:t>
      </w:r>
      <w:r w:rsidRPr="00C82870">
        <w:rPr>
          <w:sz w:val="20"/>
          <w:szCs w:val="20"/>
          <w:lang w:val="hy-AM"/>
        </w:rPr>
        <w:t>05</w:t>
      </w:r>
      <w:r w:rsidRPr="00C82870">
        <w:rPr>
          <w:rFonts w:ascii="Cambria Math" w:hAnsi="Cambria Math" w:cs="Cambria Math"/>
          <w:sz w:val="20"/>
          <w:szCs w:val="20"/>
          <w:lang w:val="hy-AM"/>
        </w:rPr>
        <w:t>․</w:t>
      </w:r>
      <w:r w:rsidRPr="00C82870">
        <w:rPr>
          <w:sz w:val="20"/>
          <w:szCs w:val="20"/>
          <w:lang w:val="hy-AM"/>
        </w:rPr>
        <w:t>2018թ</w:t>
      </w:r>
      <w:r w:rsidRPr="00C82870">
        <w:rPr>
          <w:rFonts w:ascii="Cambria Math" w:hAnsi="Cambria Math" w:cs="Cambria Math"/>
          <w:sz w:val="20"/>
          <w:szCs w:val="20"/>
          <w:lang w:val="hy-AM"/>
        </w:rPr>
        <w:t>․</w:t>
      </w:r>
      <w:r w:rsidRPr="00C82870">
        <w:rPr>
          <w:sz w:val="20"/>
          <w:szCs w:val="20"/>
          <w:lang w:val="hy-AM"/>
        </w:rPr>
        <w:t xml:space="preserve"> կնքված պայմանագրի հետ։ Մասնավորապես՝ արձանագրությունում Պայմանագրով սահմանված վերջնաժամկետ նշվել է 03.01.2018թ</w:t>
      </w:r>
      <w:r w:rsidRPr="00C82870">
        <w:rPr>
          <w:rFonts w:ascii="Cambria Math" w:hAnsi="Cambria Math" w:cs="Cambria Math"/>
          <w:sz w:val="20"/>
          <w:szCs w:val="20"/>
          <w:lang w:val="hy-AM"/>
        </w:rPr>
        <w:t>․</w:t>
      </w:r>
      <w:r w:rsidRPr="00C82870">
        <w:rPr>
          <w:sz w:val="20"/>
          <w:szCs w:val="20"/>
          <w:lang w:val="hy-AM"/>
        </w:rPr>
        <w:t>, այն դեպքում, երբ Պայմանագիրը կնքվել է 15</w:t>
      </w:r>
      <w:r w:rsidRPr="00C82870">
        <w:rPr>
          <w:rFonts w:ascii="Cambria Math" w:hAnsi="Cambria Math" w:cs="Cambria Math"/>
          <w:sz w:val="20"/>
          <w:szCs w:val="20"/>
          <w:lang w:val="hy-AM"/>
        </w:rPr>
        <w:t>․</w:t>
      </w:r>
      <w:r w:rsidRPr="00C82870">
        <w:rPr>
          <w:sz w:val="20"/>
          <w:szCs w:val="20"/>
          <w:lang w:val="hy-AM"/>
        </w:rPr>
        <w:t>05</w:t>
      </w:r>
      <w:r w:rsidRPr="00C82870">
        <w:rPr>
          <w:rFonts w:ascii="Cambria Math" w:hAnsi="Cambria Math" w:cs="Cambria Math"/>
          <w:sz w:val="20"/>
          <w:szCs w:val="20"/>
          <w:lang w:val="hy-AM"/>
        </w:rPr>
        <w:t>․</w:t>
      </w:r>
      <w:r w:rsidRPr="00C82870">
        <w:rPr>
          <w:sz w:val="20"/>
          <w:szCs w:val="20"/>
          <w:lang w:val="hy-AM"/>
        </w:rPr>
        <w:t>2018թ</w:t>
      </w:r>
      <w:r w:rsidRPr="00C82870">
        <w:rPr>
          <w:rFonts w:ascii="Cambria Math" w:hAnsi="Cambria Math" w:cs="Cambria Math"/>
          <w:sz w:val="20"/>
          <w:szCs w:val="20"/>
          <w:lang w:val="hy-AM"/>
        </w:rPr>
        <w:t>․</w:t>
      </w:r>
      <w:r w:rsidRPr="00C82870">
        <w:rPr>
          <w:sz w:val="20"/>
          <w:szCs w:val="20"/>
          <w:lang w:val="hy-AM"/>
        </w:rPr>
        <w:t>։ Կամ նշվում է, որ ապրանքները մատակարարվել են 18.04.2018թ</w:t>
      </w:r>
      <w:r w:rsidRPr="00C82870">
        <w:rPr>
          <w:rFonts w:ascii="Cambria Math" w:hAnsi="Cambria Math" w:cs="Cambria Math"/>
          <w:sz w:val="20"/>
          <w:szCs w:val="20"/>
          <w:lang w:val="hy-AM"/>
        </w:rPr>
        <w:t>․</w:t>
      </w:r>
      <w:r w:rsidRPr="00C82870">
        <w:rPr>
          <w:sz w:val="20"/>
          <w:szCs w:val="20"/>
          <w:lang w:val="hy-AM"/>
        </w:rPr>
        <w:t>, ինչը նույնպես Պայմանագրի կնքման ամսաթվից առաջ է։</w:t>
      </w:r>
    </w:p>
    <w:p w14:paraId="1C68C23E" w14:textId="19D5656F" w:rsidR="001035B2" w:rsidRPr="00C82870" w:rsidRDefault="002A111D" w:rsidP="00FF16B1">
      <w:pPr>
        <w:spacing w:before="240" w:after="0"/>
        <w:ind w:firstLine="567"/>
        <w:rPr>
          <w:b/>
          <w:sz w:val="20"/>
          <w:szCs w:val="20"/>
          <w:lang w:val="hy-AM"/>
        </w:rPr>
      </w:pPr>
      <w:r w:rsidRPr="00C82870">
        <w:rPr>
          <w:sz w:val="20"/>
          <w:szCs w:val="20"/>
          <w:lang w:val="hy-AM"/>
        </w:rPr>
        <w:t>Վերը նշված հանգամանքները թույլ չեն տալիս հարցի վերաբերյալ հայտնել հստակ դիրքորոշում՝ ուստի անհամապատասխանության վերաբերյալ պնդումն ընդունելի չէ։</w:t>
      </w:r>
    </w:p>
    <w:p w14:paraId="79F075AC" w14:textId="77777777" w:rsidR="001035B2" w:rsidRPr="00C82870" w:rsidRDefault="001035B2" w:rsidP="00FF16B1">
      <w:pPr>
        <w:spacing w:before="240" w:after="0"/>
        <w:ind w:firstLine="567"/>
        <w:rPr>
          <w:b/>
          <w:sz w:val="20"/>
          <w:szCs w:val="20"/>
          <w:lang w:val="hy-AM"/>
        </w:rPr>
      </w:pPr>
      <w:r w:rsidRPr="00C82870">
        <w:rPr>
          <w:b/>
          <w:sz w:val="20"/>
          <w:szCs w:val="20"/>
          <w:lang w:val="hy-AM"/>
        </w:rPr>
        <w:t>Հաշվեքննողի մեկնաբանությունը։</w:t>
      </w:r>
    </w:p>
    <w:p w14:paraId="41507710" w14:textId="29AF1D55" w:rsidR="001035B2" w:rsidRPr="00FF16B1" w:rsidRDefault="002A111D">
      <w:pPr>
        <w:ind w:firstLine="567"/>
        <w:rPr>
          <w:sz w:val="20"/>
          <w:szCs w:val="20"/>
          <w:lang w:val="hy-AM"/>
        </w:rPr>
      </w:pPr>
      <w:r w:rsidRPr="00FF16B1">
        <w:rPr>
          <w:sz w:val="20"/>
          <w:szCs w:val="20"/>
          <w:lang w:val="hy-AM"/>
        </w:rPr>
        <w:t>Չի ընդունվում քանի որ հաշվեքննության ներկայացրած պայմանագիրը ամսագրված է 25.09.2017թ։ Առարկություններում նշված 15.05.2018թ ամսագրված որևէ պայմանագիր թե հաշվեքննության ընթացքում և թե առարկություններին կից չի ներկայացվել։</w:t>
      </w:r>
    </w:p>
    <w:p w14:paraId="659C7B22" w14:textId="6833BE09" w:rsidR="005D44B2" w:rsidRPr="005C082A" w:rsidRDefault="005D44B2" w:rsidP="00CB7FEB">
      <w:pPr>
        <w:spacing w:after="0"/>
        <w:ind w:firstLine="567"/>
        <w:contextualSpacing/>
        <w:jc w:val="center"/>
        <w:rPr>
          <w:b/>
          <w:szCs w:val="24"/>
          <w:u w:val="single"/>
          <w:lang w:val="fr-FR"/>
        </w:rPr>
      </w:pPr>
      <w:r w:rsidRPr="005C082A">
        <w:rPr>
          <w:b/>
          <w:szCs w:val="24"/>
          <w:u w:val="single"/>
          <w:lang w:val="hy-AM"/>
        </w:rPr>
        <w:t>Ասիական զարգացման բանկի աջակցությամբ</w:t>
      </w:r>
      <w:r w:rsidRPr="005C082A">
        <w:rPr>
          <w:b/>
          <w:szCs w:val="24"/>
          <w:u w:val="single"/>
          <w:lang w:val="fr-FR"/>
        </w:rPr>
        <w:t xml:space="preserve"> </w:t>
      </w:r>
      <w:r w:rsidRPr="005C082A">
        <w:rPr>
          <w:b/>
          <w:szCs w:val="24"/>
          <w:u w:val="single"/>
          <w:lang w:val="hy-AM"/>
        </w:rPr>
        <w:t>իրականացվող</w:t>
      </w:r>
      <w:r w:rsidRPr="005C082A">
        <w:rPr>
          <w:b/>
          <w:szCs w:val="24"/>
          <w:u w:val="single"/>
          <w:lang w:val="fr-FR"/>
        </w:rPr>
        <w:t xml:space="preserve"> </w:t>
      </w:r>
      <w:r w:rsidRPr="005C082A">
        <w:rPr>
          <w:b/>
          <w:szCs w:val="24"/>
          <w:u w:val="single"/>
          <w:lang w:val="hy-AM"/>
        </w:rPr>
        <w:t>Մ</w:t>
      </w:r>
      <w:r w:rsidRPr="005C082A">
        <w:rPr>
          <w:b/>
          <w:szCs w:val="24"/>
          <w:u w:val="single"/>
          <w:lang w:val="fr-FR"/>
        </w:rPr>
        <w:t xml:space="preserve">6 </w:t>
      </w:r>
      <w:r w:rsidRPr="005C082A">
        <w:rPr>
          <w:b/>
          <w:szCs w:val="24"/>
          <w:u w:val="single"/>
          <w:lang w:val="hy-AM"/>
        </w:rPr>
        <w:t>Վանաձոր</w:t>
      </w:r>
      <w:r w:rsidRPr="005C082A">
        <w:rPr>
          <w:b/>
          <w:szCs w:val="24"/>
          <w:u w:val="single"/>
          <w:lang w:val="fr-FR"/>
        </w:rPr>
        <w:t>-</w:t>
      </w:r>
      <w:r w:rsidRPr="005C082A">
        <w:rPr>
          <w:b/>
          <w:szCs w:val="24"/>
          <w:u w:val="single"/>
          <w:lang w:val="hy-AM"/>
        </w:rPr>
        <w:t>Ալավերդի</w:t>
      </w:r>
      <w:r w:rsidRPr="005C082A">
        <w:rPr>
          <w:b/>
          <w:szCs w:val="24"/>
          <w:u w:val="single"/>
          <w:lang w:val="fr-FR"/>
        </w:rPr>
        <w:t>-</w:t>
      </w:r>
      <w:r w:rsidRPr="005C082A">
        <w:rPr>
          <w:b/>
          <w:szCs w:val="24"/>
          <w:u w:val="single"/>
          <w:lang w:val="hy-AM"/>
        </w:rPr>
        <w:t>Վրաստանի</w:t>
      </w:r>
      <w:r w:rsidRPr="005C082A">
        <w:rPr>
          <w:b/>
          <w:szCs w:val="24"/>
          <w:u w:val="single"/>
          <w:lang w:val="fr-FR"/>
        </w:rPr>
        <w:t xml:space="preserve"> </w:t>
      </w:r>
      <w:r w:rsidRPr="005C082A">
        <w:rPr>
          <w:b/>
          <w:szCs w:val="24"/>
          <w:u w:val="single"/>
          <w:lang w:val="hy-AM"/>
        </w:rPr>
        <w:t>սահման</w:t>
      </w:r>
      <w:r w:rsidRPr="005C082A">
        <w:rPr>
          <w:b/>
          <w:szCs w:val="24"/>
          <w:u w:val="single"/>
          <w:lang w:val="fr-FR"/>
        </w:rPr>
        <w:t xml:space="preserve"> </w:t>
      </w:r>
      <w:r w:rsidRPr="005C082A">
        <w:rPr>
          <w:b/>
          <w:szCs w:val="24"/>
          <w:u w:val="single"/>
          <w:lang w:val="hy-AM"/>
        </w:rPr>
        <w:t>միջպետական</w:t>
      </w:r>
      <w:r w:rsidRPr="005C082A">
        <w:rPr>
          <w:b/>
          <w:szCs w:val="24"/>
          <w:u w:val="single"/>
          <w:lang w:val="fr-FR"/>
        </w:rPr>
        <w:t xml:space="preserve"> </w:t>
      </w:r>
      <w:r w:rsidRPr="005C082A">
        <w:rPr>
          <w:b/>
          <w:szCs w:val="24"/>
          <w:u w:val="single"/>
          <w:lang w:val="hy-AM"/>
        </w:rPr>
        <w:t>նշանակության</w:t>
      </w:r>
      <w:r w:rsidRPr="005C082A">
        <w:rPr>
          <w:b/>
          <w:szCs w:val="24"/>
          <w:u w:val="single"/>
          <w:lang w:val="fr-FR"/>
        </w:rPr>
        <w:t xml:space="preserve"> </w:t>
      </w:r>
      <w:r w:rsidRPr="005C082A">
        <w:rPr>
          <w:b/>
          <w:szCs w:val="24"/>
          <w:u w:val="single"/>
          <w:lang w:val="hy-AM"/>
        </w:rPr>
        <w:t>ճանապարհի</w:t>
      </w:r>
      <w:r w:rsidRPr="005C082A">
        <w:rPr>
          <w:b/>
          <w:szCs w:val="24"/>
          <w:u w:val="single"/>
          <w:lang w:val="fr-FR"/>
        </w:rPr>
        <w:t xml:space="preserve"> </w:t>
      </w:r>
      <w:r w:rsidRPr="005C082A">
        <w:rPr>
          <w:b/>
          <w:szCs w:val="24"/>
          <w:u w:val="single"/>
          <w:lang w:val="hy-AM"/>
        </w:rPr>
        <w:t>վերականգնման և բարելավման</w:t>
      </w:r>
      <w:r w:rsidRPr="005C082A">
        <w:rPr>
          <w:b/>
          <w:szCs w:val="24"/>
          <w:u w:val="single"/>
          <w:lang w:val="fr-FR"/>
        </w:rPr>
        <w:t xml:space="preserve"> </w:t>
      </w:r>
      <w:r w:rsidRPr="005C082A">
        <w:rPr>
          <w:b/>
          <w:szCs w:val="24"/>
          <w:u w:val="single"/>
          <w:lang w:val="hy-AM"/>
        </w:rPr>
        <w:t>ծրագիր</w:t>
      </w:r>
      <w:r w:rsidRPr="005C082A">
        <w:rPr>
          <w:b/>
          <w:szCs w:val="24"/>
          <w:u w:val="single"/>
          <w:lang w:val="fr-FR"/>
        </w:rPr>
        <w:t>:</w:t>
      </w:r>
    </w:p>
    <w:p w14:paraId="3F2CB75F" w14:textId="60F84E2C" w:rsidR="005D44B2" w:rsidRPr="005C082A" w:rsidRDefault="00A40814" w:rsidP="00CB7FEB">
      <w:pPr>
        <w:ind w:firstLine="567"/>
        <w:rPr>
          <w:b/>
          <w:i/>
          <w:szCs w:val="24"/>
          <w:lang w:val="hy-AM"/>
        </w:rPr>
      </w:pPr>
      <w:r w:rsidRPr="005C082A">
        <w:rPr>
          <w:b/>
          <w:i/>
          <w:szCs w:val="24"/>
          <w:lang w:val="fr-FR"/>
        </w:rPr>
        <w:t>5.1</w:t>
      </w:r>
      <w:r w:rsidR="00002242">
        <w:rPr>
          <w:b/>
          <w:i/>
          <w:szCs w:val="24"/>
          <w:lang w:val="fr-FR"/>
        </w:rPr>
        <w:t>7</w:t>
      </w:r>
      <w:r w:rsidRPr="005C082A">
        <w:rPr>
          <w:b/>
          <w:i/>
          <w:szCs w:val="24"/>
          <w:lang w:val="fr-FR"/>
        </w:rPr>
        <w:t>.</w:t>
      </w:r>
      <w:r w:rsidR="005D44B2" w:rsidRPr="005C082A">
        <w:rPr>
          <w:b/>
          <w:i/>
          <w:szCs w:val="24"/>
          <w:lang w:val="hy-AM"/>
        </w:rPr>
        <w:t xml:space="preserve"> Առկա է անհամապատասխանություն CW-ICB-M6/2016-2 և CW-ICB-M6/2016-3 պայմանագրերի </w:t>
      </w:r>
      <w:r w:rsidRPr="005C082A">
        <w:rPr>
          <w:b/>
          <w:i/>
          <w:szCs w:val="24"/>
          <w:lang w:val="hy-AM"/>
        </w:rPr>
        <w:t xml:space="preserve">ՊԸՊ </w:t>
      </w:r>
      <w:r w:rsidR="005D44B2" w:rsidRPr="005C082A">
        <w:rPr>
          <w:b/>
          <w:i/>
          <w:szCs w:val="24"/>
          <w:lang w:val="hy-AM"/>
        </w:rPr>
        <w:t>13.8 կետի պահանջի նկատմամբ</w:t>
      </w:r>
    </w:p>
    <w:p w14:paraId="31838032" w14:textId="77777777" w:rsidR="005D44B2" w:rsidRPr="005C082A" w:rsidRDefault="005D44B2" w:rsidP="00CB7FEB">
      <w:pPr>
        <w:ind w:firstLine="567"/>
        <w:rPr>
          <w:szCs w:val="24"/>
          <w:lang w:val="hy-AM"/>
        </w:rPr>
      </w:pPr>
      <w:r w:rsidRPr="005C082A">
        <w:rPr>
          <w:szCs w:val="24"/>
          <w:lang w:val="hy-AM"/>
        </w:rPr>
        <w:t>Համաձայն ՊԸՊ 13.8 կետի</w:t>
      </w:r>
      <w:r w:rsidRPr="005C082A">
        <w:rPr>
          <w:b/>
          <w:szCs w:val="24"/>
          <w:lang w:val="hy-AM"/>
        </w:rPr>
        <w:t xml:space="preserve"> </w:t>
      </w:r>
      <w:r w:rsidRPr="005C082A">
        <w:rPr>
          <w:szCs w:val="24"/>
          <w:lang w:val="hy-AM"/>
        </w:rPr>
        <w:t>պետք է իրականացվեն</w:t>
      </w:r>
      <w:r w:rsidRPr="005C082A">
        <w:rPr>
          <w:b/>
          <w:szCs w:val="24"/>
          <w:lang w:val="hy-AM"/>
        </w:rPr>
        <w:t xml:space="preserve"> </w:t>
      </w:r>
      <w:r w:rsidRPr="005C082A">
        <w:rPr>
          <w:szCs w:val="24"/>
          <w:lang w:val="hy-AM"/>
        </w:rPr>
        <w:t>Գնային փոփոխության հետ կապված կարգավորումները։</w:t>
      </w:r>
    </w:p>
    <w:p w14:paraId="1CD9B8FC" w14:textId="6733FCAD" w:rsidR="005D44B2" w:rsidRPr="005C082A" w:rsidRDefault="005D44B2" w:rsidP="00CB7FEB">
      <w:pPr>
        <w:ind w:firstLine="567"/>
        <w:rPr>
          <w:szCs w:val="24"/>
          <w:lang w:val="hy-AM"/>
        </w:rPr>
      </w:pPr>
      <w:r w:rsidRPr="005C082A">
        <w:rPr>
          <w:szCs w:val="24"/>
          <w:lang w:val="hy-AM"/>
        </w:rPr>
        <w:t xml:space="preserve">Գնային փոփոխության հետ կապված կարգավորումների համար </w:t>
      </w:r>
      <w:r w:rsidRPr="005C082A">
        <w:rPr>
          <w:rFonts w:cs="Arial"/>
          <w:color w:val="000000"/>
          <w:spacing w:val="-5"/>
          <w:szCs w:val="24"/>
          <w:lang w:val="hy-AM"/>
        </w:rPr>
        <w:t xml:space="preserve">կարգավորման գործակիցը կիրառվում է մեկ ամսում կատարվող աշխատանքների պայմանագրային արժեքի նկատմամբ։  Ընթացիկ ծախսերի ինդեքսները կամ տեղեկատու գները վերցվում </w:t>
      </w:r>
      <w:r w:rsidRPr="005C082A">
        <w:rPr>
          <w:rFonts w:cs="Arial"/>
          <w:color w:val="000000"/>
          <w:spacing w:val="-5"/>
          <w:szCs w:val="24"/>
          <w:lang w:val="hy-AM"/>
        </w:rPr>
        <w:lastRenderedPageBreak/>
        <w:t>են այդ ժամանակաշրջանի վերջին օրվան նախորդող 49-րդ օրվա դրությամբ, որին վերաբերվում է Վճարման վկայականը</w:t>
      </w:r>
      <w:r w:rsidR="008834A1" w:rsidRPr="003810E9">
        <w:rPr>
          <w:rStyle w:val="FootnoteReference"/>
          <w:rFonts w:cs="Arial"/>
          <w:color w:val="000000"/>
          <w:spacing w:val="-5"/>
          <w:szCs w:val="24"/>
          <w:lang w:val="hy-AM"/>
        </w:rPr>
        <w:footnoteReference w:id="4"/>
      </w:r>
      <w:r w:rsidRPr="003810E9">
        <w:rPr>
          <w:rFonts w:cs="Arial"/>
          <w:color w:val="000000"/>
          <w:spacing w:val="-5"/>
          <w:szCs w:val="24"/>
          <w:lang w:val="hy-AM"/>
        </w:rPr>
        <w:t>:</w:t>
      </w:r>
      <w:r w:rsidRPr="005C082A">
        <w:rPr>
          <w:szCs w:val="24"/>
          <w:lang w:val="hy-AM"/>
        </w:rPr>
        <w:t xml:space="preserve"> </w:t>
      </w:r>
    </w:p>
    <w:p w14:paraId="679A6593" w14:textId="77777777" w:rsidR="005D44B2" w:rsidRPr="005C082A" w:rsidRDefault="005D44B2" w:rsidP="00CB7FEB">
      <w:pPr>
        <w:ind w:firstLine="567"/>
        <w:rPr>
          <w:szCs w:val="24"/>
          <w:lang w:val="hy-AM"/>
        </w:rPr>
      </w:pPr>
      <w:r w:rsidRPr="005C082A">
        <w:rPr>
          <w:rFonts w:eastAsia="Times New Roman" w:cs="Arial"/>
          <w:color w:val="000000"/>
          <w:spacing w:val="-5"/>
          <w:szCs w:val="24"/>
          <w:lang w:val="hy-AM"/>
        </w:rPr>
        <w:t>Կարգավորման գործակիցների աղյուսակներում Կապալառուները որպես նյութերի բազային և ընթացիկ գների աղբյուր նշել են ՀՀ ֆինանսների նախարարության ԳՎԻԿ ՊՈԱԿ-ի կողմից թողարկվող ամենամսյա ինֆորմացիոն տեղեկագրերը, իսկ աշխատավարձի համար  armstat.am կայքում հրապարակվող ամենամսյա միջին աշխատավարձի չափը։</w:t>
      </w:r>
    </w:p>
    <w:p w14:paraId="2937A3ED" w14:textId="77777777" w:rsidR="005D44B2" w:rsidRPr="005C082A" w:rsidRDefault="005D44B2" w:rsidP="00CB7FEB">
      <w:pPr>
        <w:ind w:firstLine="567"/>
        <w:rPr>
          <w:szCs w:val="24"/>
          <w:lang w:val="hy-AM"/>
        </w:rPr>
      </w:pPr>
      <w:r w:rsidRPr="005C082A">
        <w:rPr>
          <w:szCs w:val="24"/>
          <w:lang w:val="hy-AM"/>
        </w:rPr>
        <w:t>Համաձայն ՊԸՊ 14.1 կետի պահանջի Կապալառուն պետք է յուրաքանչյուր ամսվա համար Ինժեներին ներկայացնի միջանկյալ վճարման վկայականի հայտավորումը։</w:t>
      </w:r>
    </w:p>
    <w:p w14:paraId="569887AC" w14:textId="0D8B2FC5" w:rsidR="000D0335" w:rsidRDefault="005D44B2" w:rsidP="00CB7FEB">
      <w:pPr>
        <w:ind w:firstLine="567"/>
        <w:rPr>
          <w:szCs w:val="24"/>
          <w:lang w:val="hy-AM"/>
        </w:rPr>
      </w:pPr>
      <w:r w:rsidRPr="005C082A">
        <w:rPr>
          <w:szCs w:val="24"/>
          <w:lang w:val="hy-AM"/>
        </w:rPr>
        <w:t>Հաշվեքննվող ժամանակահատվածում CW-ICB-M6/2016-2 պայմանագրի շրջանակում կազմվել է մեկ միջանկյալ վճարման վկայական գումարով 83,483.49 հազ դրամի, իսկ CW-ICB-M6/2016-3 պայմանագրի շրջանակում թվով 3 միջանկյալ վճարման վկայականներ գումարով 403,480.01 հազ դրամի, սակայն  գնային փոփոխությունների հետ կապված կարգավորումները չեն հաշվարկվել։</w:t>
      </w:r>
    </w:p>
    <w:p w14:paraId="2FB449A5" w14:textId="77777777" w:rsidR="000D0335" w:rsidRDefault="000D0335">
      <w:pPr>
        <w:spacing w:before="0" w:after="160" w:line="259" w:lineRule="auto"/>
        <w:ind w:firstLine="0"/>
        <w:jc w:val="left"/>
        <w:rPr>
          <w:szCs w:val="24"/>
          <w:lang w:val="hy-AM"/>
        </w:rPr>
      </w:pPr>
      <w:r>
        <w:rPr>
          <w:szCs w:val="24"/>
          <w:lang w:val="hy-AM"/>
        </w:rPr>
        <w:br w:type="page"/>
      </w:r>
    </w:p>
    <w:p w14:paraId="6ACCC4D5" w14:textId="51148C5A" w:rsidR="00AC7646" w:rsidRPr="005C082A" w:rsidRDefault="00AC7646" w:rsidP="008D65F5">
      <w:pPr>
        <w:pStyle w:val="Heading1"/>
      </w:pPr>
      <w:bookmarkStart w:id="15" w:name="_Toc125128189"/>
      <w:bookmarkStart w:id="16" w:name="_Toc125128525"/>
      <w:bookmarkStart w:id="17" w:name="_Toc125128190"/>
      <w:bookmarkStart w:id="18" w:name="_Toc125128526"/>
      <w:bookmarkStart w:id="19" w:name="_Toc125128191"/>
      <w:bookmarkStart w:id="20" w:name="_Toc125128527"/>
      <w:bookmarkStart w:id="21" w:name="_Toc125128192"/>
      <w:bookmarkStart w:id="22" w:name="_Toc125128528"/>
      <w:bookmarkStart w:id="23" w:name="_Toc103351803"/>
      <w:bookmarkStart w:id="24" w:name="_Toc127462666"/>
      <w:bookmarkStart w:id="25" w:name="_Toc128393697"/>
      <w:bookmarkEnd w:id="15"/>
      <w:bookmarkEnd w:id="16"/>
      <w:bookmarkEnd w:id="17"/>
      <w:bookmarkEnd w:id="18"/>
      <w:bookmarkEnd w:id="19"/>
      <w:bookmarkEnd w:id="20"/>
      <w:bookmarkEnd w:id="21"/>
      <w:bookmarkEnd w:id="22"/>
      <w:r w:rsidRPr="005C082A">
        <w:lastRenderedPageBreak/>
        <w:t>ԽԵՂԱԹՅՈՒՐՈՒՄՆԵՐԻ ՎԵՐԱԲԵՐՅԱԼ ԳՐԱՌՈՒՄՆԵՐ</w:t>
      </w:r>
      <w:bookmarkEnd w:id="23"/>
      <w:bookmarkEnd w:id="24"/>
      <w:bookmarkEnd w:id="25"/>
    </w:p>
    <w:p w14:paraId="31A22B3E" w14:textId="3ACF6CAA" w:rsidR="004131D9" w:rsidRPr="005C082A" w:rsidRDefault="00D62559" w:rsidP="00CB7FEB">
      <w:pPr>
        <w:spacing w:after="0"/>
        <w:ind w:firstLine="567"/>
        <w:rPr>
          <w:szCs w:val="24"/>
          <w:lang w:val="fr-FR"/>
        </w:rPr>
      </w:pPr>
      <w:r w:rsidRPr="005C082A">
        <w:rPr>
          <w:b/>
          <w:szCs w:val="24"/>
          <w:lang w:val="ru-RU" w:eastAsia="x-none"/>
        </w:rPr>
        <w:t>6</w:t>
      </w:r>
      <w:r w:rsidR="007169FB" w:rsidRPr="005C082A">
        <w:rPr>
          <w:rFonts w:ascii="Cambria Math" w:hAnsi="Cambria Math" w:cs="Cambria Math"/>
          <w:b/>
          <w:szCs w:val="24"/>
          <w:lang w:val="hy-AM" w:eastAsia="x-none"/>
        </w:rPr>
        <w:t>․</w:t>
      </w:r>
      <w:r w:rsidR="0047405C" w:rsidRPr="005C082A">
        <w:rPr>
          <w:b/>
          <w:szCs w:val="24"/>
          <w:lang w:val="hy-AM" w:eastAsia="x-none"/>
        </w:rPr>
        <w:t>1</w:t>
      </w:r>
      <w:r w:rsidR="007169FB" w:rsidRPr="005C082A">
        <w:rPr>
          <w:rFonts w:ascii="Cambria Math" w:hAnsi="Cambria Math" w:cs="Cambria Math"/>
          <w:b/>
          <w:szCs w:val="24"/>
          <w:lang w:val="hy-AM" w:eastAsia="x-none"/>
        </w:rPr>
        <w:t>․</w:t>
      </w:r>
      <w:r w:rsidR="007169FB" w:rsidRPr="005C082A">
        <w:rPr>
          <w:szCs w:val="24"/>
          <w:lang w:val="hy-AM" w:eastAsia="x-none"/>
        </w:rPr>
        <w:t xml:space="preserve"> </w:t>
      </w:r>
      <w:r w:rsidR="004131D9" w:rsidRPr="005C082A">
        <w:rPr>
          <w:szCs w:val="24"/>
          <w:lang w:val="hy-AM"/>
        </w:rPr>
        <w:t xml:space="preserve">Թիվ 5.2. </w:t>
      </w:r>
      <w:proofErr w:type="gramStart"/>
      <w:r w:rsidR="004131D9" w:rsidRPr="005C082A">
        <w:rPr>
          <w:szCs w:val="24"/>
          <w:lang w:val="fr-FR"/>
        </w:rPr>
        <w:t>անհամապատասխանությունը</w:t>
      </w:r>
      <w:proofErr w:type="gramEnd"/>
      <w:r w:rsidR="004131D9" w:rsidRPr="005C082A">
        <w:rPr>
          <w:szCs w:val="24"/>
          <w:lang w:val="fr-FR"/>
        </w:rPr>
        <w:t xml:space="preserve">՝ </w:t>
      </w:r>
      <w:r w:rsidR="004131D9" w:rsidRPr="005C082A">
        <w:rPr>
          <w:szCs w:val="24"/>
          <w:lang w:val="hy-AM"/>
        </w:rPr>
        <w:t>Մ</w:t>
      </w:r>
      <w:r w:rsidR="004131D9" w:rsidRPr="005C082A">
        <w:rPr>
          <w:szCs w:val="24"/>
          <w:lang w:val="fr-FR"/>
        </w:rPr>
        <w:t xml:space="preserve">6 </w:t>
      </w:r>
      <w:r w:rsidR="004131D9" w:rsidRPr="005C082A">
        <w:rPr>
          <w:szCs w:val="24"/>
          <w:lang w:val="hy-AM"/>
        </w:rPr>
        <w:t>Վանաձոր</w:t>
      </w:r>
      <w:r w:rsidR="004131D9" w:rsidRPr="005C082A">
        <w:rPr>
          <w:szCs w:val="24"/>
          <w:lang w:val="fr-FR"/>
        </w:rPr>
        <w:t>-</w:t>
      </w:r>
      <w:r w:rsidR="004131D9" w:rsidRPr="005C082A">
        <w:rPr>
          <w:szCs w:val="24"/>
          <w:lang w:val="hy-AM"/>
        </w:rPr>
        <w:t>Ալավերդի</w:t>
      </w:r>
      <w:r w:rsidR="004131D9" w:rsidRPr="005C082A">
        <w:rPr>
          <w:szCs w:val="24"/>
          <w:lang w:val="fr-FR"/>
        </w:rPr>
        <w:t>-</w:t>
      </w:r>
      <w:r w:rsidR="004131D9" w:rsidRPr="005C082A">
        <w:rPr>
          <w:szCs w:val="24"/>
          <w:lang w:val="hy-AM"/>
        </w:rPr>
        <w:t>Վրաստանի</w:t>
      </w:r>
      <w:r w:rsidR="004131D9" w:rsidRPr="005C082A">
        <w:rPr>
          <w:szCs w:val="24"/>
          <w:lang w:val="fr-FR"/>
        </w:rPr>
        <w:t xml:space="preserve"> </w:t>
      </w:r>
      <w:r w:rsidR="004131D9" w:rsidRPr="005C082A">
        <w:rPr>
          <w:szCs w:val="24"/>
          <w:lang w:val="hy-AM"/>
        </w:rPr>
        <w:t>սահման</w:t>
      </w:r>
      <w:r w:rsidR="004131D9" w:rsidRPr="005C082A">
        <w:rPr>
          <w:szCs w:val="24"/>
          <w:lang w:val="fr-FR"/>
        </w:rPr>
        <w:t xml:space="preserve"> </w:t>
      </w:r>
      <w:r w:rsidR="004131D9" w:rsidRPr="005C082A">
        <w:rPr>
          <w:szCs w:val="24"/>
          <w:lang w:val="hy-AM"/>
        </w:rPr>
        <w:t>միջպետական</w:t>
      </w:r>
      <w:r w:rsidR="004131D9" w:rsidRPr="005C082A">
        <w:rPr>
          <w:szCs w:val="24"/>
          <w:lang w:val="fr-FR"/>
        </w:rPr>
        <w:t xml:space="preserve"> </w:t>
      </w:r>
      <w:r w:rsidR="004131D9" w:rsidRPr="005C082A">
        <w:rPr>
          <w:szCs w:val="24"/>
          <w:lang w:val="hy-AM"/>
        </w:rPr>
        <w:t>նշանակության</w:t>
      </w:r>
      <w:r w:rsidR="004131D9" w:rsidRPr="005C082A">
        <w:rPr>
          <w:szCs w:val="24"/>
          <w:lang w:val="fr-FR"/>
        </w:rPr>
        <w:t xml:space="preserve"> </w:t>
      </w:r>
      <w:r w:rsidR="004131D9" w:rsidRPr="005C082A">
        <w:rPr>
          <w:szCs w:val="24"/>
          <w:lang w:val="hy-AM"/>
        </w:rPr>
        <w:t>ճանապարհի</w:t>
      </w:r>
      <w:r w:rsidR="004131D9" w:rsidRPr="005C082A">
        <w:rPr>
          <w:szCs w:val="24"/>
          <w:lang w:val="fr-FR"/>
        </w:rPr>
        <w:t xml:space="preserve"> </w:t>
      </w:r>
      <w:r w:rsidR="004131D9" w:rsidRPr="005C082A">
        <w:rPr>
          <w:szCs w:val="24"/>
          <w:lang w:val="hy-AM"/>
        </w:rPr>
        <w:t>վրա</w:t>
      </w:r>
      <w:r w:rsidR="004131D9" w:rsidRPr="005C082A">
        <w:rPr>
          <w:szCs w:val="24"/>
          <w:lang w:val="fr-FR"/>
        </w:rPr>
        <w:t xml:space="preserve"> </w:t>
      </w:r>
      <w:r w:rsidR="004131D9" w:rsidRPr="005C082A">
        <w:rPr>
          <w:szCs w:val="24"/>
          <w:lang w:val="hy-AM"/>
        </w:rPr>
        <w:t xml:space="preserve">իրականացրած </w:t>
      </w:r>
      <w:r w:rsidR="004131D9" w:rsidRPr="005C082A">
        <w:rPr>
          <w:szCs w:val="24"/>
          <w:lang w:val="fr-FR"/>
        </w:rPr>
        <w:t>կապիտալ ծախսումները ՀՀ ֆինանսների նախարարի 2014 թվականի հոկտեմբերի 24-ի թիվ 725-Ն հրամանով հաստատված «ՀՀ հանրային հատվածի հաշապահական հաշվառման ստանդարտի» 11.11.-11.16 պարագրաֆ</w:t>
      </w:r>
      <w:r w:rsidR="009155E0" w:rsidRPr="005C082A">
        <w:rPr>
          <w:szCs w:val="24"/>
          <w:lang w:val="fr-FR"/>
        </w:rPr>
        <w:t>ներ</w:t>
      </w:r>
      <w:r w:rsidR="004131D9" w:rsidRPr="005C082A">
        <w:rPr>
          <w:szCs w:val="24"/>
          <w:lang w:val="fr-FR"/>
        </w:rPr>
        <w:t>ով սահմանված պահանջ</w:t>
      </w:r>
      <w:r w:rsidR="00D875AF" w:rsidRPr="005C082A">
        <w:rPr>
          <w:szCs w:val="24"/>
          <w:lang w:val="fr-FR"/>
        </w:rPr>
        <w:t>նի</w:t>
      </w:r>
      <w:r w:rsidR="004131D9" w:rsidRPr="005C082A">
        <w:rPr>
          <w:szCs w:val="24"/>
          <w:lang w:val="fr-FR"/>
        </w:rPr>
        <w:t xml:space="preserve">ն համապատասխան հիմնական միջոցի միավորի հաշվեկշռային արժեքին չավելացնելը հանգեցրել է խեղաթյուրման </w:t>
      </w:r>
      <w:r w:rsidR="004131D9" w:rsidRPr="005C082A">
        <w:rPr>
          <w:b/>
          <w:i/>
          <w:szCs w:val="24"/>
          <w:u w:val="single"/>
          <w:lang w:val="fr-FR"/>
        </w:rPr>
        <w:t xml:space="preserve">19,356,173.9 </w:t>
      </w:r>
      <w:r w:rsidR="004131D9" w:rsidRPr="005C082A">
        <w:rPr>
          <w:b/>
          <w:i/>
          <w:szCs w:val="24"/>
          <w:u w:val="single"/>
          <w:lang w:val="hy-AM"/>
        </w:rPr>
        <w:t>հազ</w:t>
      </w:r>
      <w:r w:rsidR="004131D9" w:rsidRPr="005C082A">
        <w:rPr>
          <w:b/>
          <w:i/>
          <w:szCs w:val="24"/>
          <w:u w:val="single"/>
          <w:lang w:val="fr-FR"/>
        </w:rPr>
        <w:t xml:space="preserve">. </w:t>
      </w:r>
      <w:proofErr w:type="gramStart"/>
      <w:r w:rsidR="004131D9" w:rsidRPr="005C082A">
        <w:rPr>
          <w:b/>
          <w:i/>
          <w:szCs w:val="24"/>
          <w:u w:val="single"/>
          <w:lang w:val="fr-FR"/>
        </w:rPr>
        <w:t>դրամի</w:t>
      </w:r>
      <w:proofErr w:type="gramEnd"/>
      <w:r w:rsidR="004131D9" w:rsidRPr="005C082A">
        <w:rPr>
          <w:szCs w:val="24"/>
          <w:lang w:val="fr-FR"/>
        </w:rPr>
        <w:t xml:space="preserve"> չափով։</w:t>
      </w:r>
    </w:p>
    <w:p w14:paraId="462DDFBE" w14:textId="212F56B9" w:rsidR="00AC7646" w:rsidRPr="005C082A" w:rsidRDefault="00D62559" w:rsidP="00CB7FEB">
      <w:pPr>
        <w:ind w:firstLine="567"/>
        <w:rPr>
          <w:szCs w:val="24"/>
          <w:lang w:val="hy-AM" w:eastAsia="x-none"/>
        </w:rPr>
      </w:pPr>
      <w:r w:rsidRPr="005C082A">
        <w:rPr>
          <w:b/>
          <w:bCs/>
          <w:szCs w:val="24"/>
          <w:lang w:val="fr-FR"/>
        </w:rPr>
        <w:t>6</w:t>
      </w:r>
      <w:r w:rsidR="004131D9" w:rsidRPr="005C082A">
        <w:rPr>
          <w:b/>
          <w:bCs/>
          <w:szCs w:val="24"/>
          <w:lang w:val="hy-AM"/>
        </w:rPr>
        <w:t>.</w:t>
      </w:r>
      <w:r w:rsidR="0047405C" w:rsidRPr="005C082A">
        <w:rPr>
          <w:b/>
          <w:bCs/>
          <w:szCs w:val="24"/>
          <w:lang w:val="hy-AM"/>
        </w:rPr>
        <w:t>2</w:t>
      </w:r>
      <w:r w:rsidR="00670684" w:rsidRPr="00650A93">
        <w:rPr>
          <w:rFonts w:ascii="Cambria Math" w:hAnsi="Cambria Math" w:cs="Cambria Math"/>
          <w:bCs/>
          <w:szCs w:val="24"/>
          <w:lang w:val="hy-AM"/>
        </w:rPr>
        <w:t>․</w:t>
      </w:r>
      <w:r w:rsidR="00BC638C" w:rsidRPr="003810E9">
        <w:rPr>
          <w:bCs/>
          <w:szCs w:val="24"/>
          <w:lang w:val="hy-AM"/>
        </w:rPr>
        <w:t xml:space="preserve"> </w:t>
      </w:r>
      <w:r w:rsidR="004131D9" w:rsidRPr="005C082A">
        <w:rPr>
          <w:rFonts w:cs="Arial"/>
          <w:color w:val="000000"/>
          <w:spacing w:val="-5"/>
          <w:szCs w:val="24"/>
          <w:lang w:val="hy-AM"/>
        </w:rPr>
        <w:t xml:space="preserve">Թիվ </w:t>
      </w:r>
      <w:r w:rsidR="004131D9" w:rsidRPr="005C082A">
        <w:rPr>
          <w:rFonts w:cs="Arial"/>
          <w:color w:val="000000"/>
          <w:spacing w:val="-5"/>
          <w:szCs w:val="24"/>
          <w:lang w:val="fr-FR"/>
        </w:rPr>
        <w:t>5.4</w:t>
      </w:r>
      <w:r w:rsidR="004131D9" w:rsidRPr="005C082A">
        <w:rPr>
          <w:rFonts w:cs="Arial"/>
          <w:color w:val="000000"/>
          <w:spacing w:val="-5"/>
          <w:szCs w:val="24"/>
          <w:lang w:val="hy-AM"/>
        </w:rPr>
        <w:t>. անհամապատասխանությունը՝</w:t>
      </w:r>
      <w:r w:rsidR="004131D9" w:rsidRPr="005C082A">
        <w:rPr>
          <w:rFonts w:cs="Arial"/>
          <w:b/>
          <w:color w:val="000000"/>
          <w:spacing w:val="-5"/>
          <w:szCs w:val="24"/>
          <w:lang w:val="hy-AM"/>
        </w:rPr>
        <w:t xml:space="preserve"> </w:t>
      </w:r>
      <w:r w:rsidR="004131D9" w:rsidRPr="005C082A">
        <w:rPr>
          <w:szCs w:val="24"/>
          <w:lang w:val="hy-AM"/>
        </w:rPr>
        <w:t>ը</w:t>
      </w:r>
      <w:r w:rsidR="004131D9" w:rsidRPr="005C082A">
        <w:rPr>
          <w:color w:val="000000"/>
          <w:szCs w:val="24"/>
          <w:shd w:val="clear" w:color="auto" w:fill="FFFFFF"/>
          <w:lang w:val="hy-AM"/>
        </w:rPr>
        <w:t>նդհանուր օգտագործման պետական ավտոմոբիլային ճանապարհների օտարման շերտում և (կամ) պաշտպանական գոտում գտնվող հաղորդակցուղիներ</w:t>
      </w:r>
      <w:r w:rsidR="009155E0" w:rsidRPr="005C082A">
        <w:rPr>
          <w:color w:val="000000"/>
          <w:szCs w:val="24"/>
          <w:shd w:val="clear" w:color="auto" w:fill="FFFFFF"/>
          <w:lang w:val="en-GB"/>
        </w:rPr>
        <w:t>ի</w:t>
      </w:r>
      <w:r w:rsidR="004131D9" w:rsidRPr="005C082A">
        <w:rPr>
          <w:color w:val="000000"/>
          <w:szCs w:val="24"/>
          <w:shd w:val="clear" w:color="auto" w:fill="FFFFFF"/>
          <w:lang w:val="hy-AM"/>
        </w:rPr>
        <w:t xml:space="preserve"> և այլ շինություններն ու հարմարանքներ</w:t>
      </w:r>
      <w:r w:rsidR="009155E0" w:rsidRPr="005C082A">
        <w:rPr>
          <w:color w:val="000000"/>
          <w:szCs w:val="24"/>
          <w:shd w:val="clear" w:color="auto" w:fill="FFFFFF"/>
          <w:lang w:val="en-GB"/>
        </w:rPr>
        <w:t>ի</w:t>
      </w:r>
      <w:r w:rsidR="009155E0" w:rsidRPr="005C082A">
        <w:rPr>
          <w:color w:val="000000"/>
          <w:szCs w:val="24"/>
          <w:shd w:val="clear" w:color="auto" w:fill="FFFFFF"/>
          <w:lang w:val="fr-FR"/>
        </w:rPr>
        <w:t xml:space="preserve"> </w:t>
      </w:r>
      <w:r w:rsidR="009155E0" w:rsidRPr="005C082A">
        <w:rPr>
          <w:color w:val="000000"/>
          <w:szCs w:val="24"/>
          <w:shd w:val="clear" w:color="auto" w:fill="FFFFFF"/>
          <w:lang w:val="en-GB"/>
        </w:rPr>
        <w:t>տեղափոխումը</w:t>
      </w:r>
      <w:r w:rsidR="004131D9" w:rsidRPr="005C082A">
        <w:rPr>
          <w:color w:val="000000"/>
          <w:szCs w:val="24"/>
          <w:shd w:val="clear" w:color="auto" w:fill="FFFFFF"/>
          <w:lang w:val="hy-AM"/>
        </w:rPr>
        <w:t xml:space="preserve"> </w:t>
      </w:r>
      <w:r w:rsidR="00E94225" w:rsidRPr="005C082A">
        <w:rPr>
          <w:color w:val="000000"/>
          <w:szCs w:val="24"/>
          <w:shd w:val="clear" w:color="auto" w:fill="FFFFFF"/>
          <w:lang w:val="en-GB"/>
        </w:rPr>
        <w:t>կամ</w:t>
      </w:r>
      <w:r w:rsidR="00E94225" w:rsidRPr="005C082A">
        <w:rPr>
          <w:color w:val="000000"/>
          <w:szCs w:val="24"/>
          <w:shd w:val="clear" w:color="auto" w:fill="FFFFFF"/>
          <w:lang w:val="fr-FR"/>
        </w:rPr>
        <w:t xml:space="preserve"> </w:t>
      </w:r>
      <w:r w:rsidR="00E94225" w:rsidRPr="005C082A">
        <w:rPr>
          <w:color w:val="000000"/>
          <w:szCs w:val="24"/>
          <w:shd w:val="clear" w:color="auto" w:fill="FFFFFF"/>
          <w:lang w:val="en-GB"/>
        </w:rPr>
        <w:t>վերաշինումը</w:t>
      </w:r>
      <w:r w:rsidR="00E94225" w:rsidRPr="005C082A">
        <w:rPr>
          <w:color w:val="000000"/>
          <w:szCs w:val="24"/>
          <w:shd w:val="clear" w:color="auto" w:fill="FFFFFF"/>
          <w:lang w:val="fr-FR"/>
        </w:rPr>
        <w:t xml:space="preserve"> </w:t>
      </w:r>
      <w:r w:rsidR="004131D9" w:rsidRPr="005C082A">
        <w:rPr>
          <w:color w:val="000000"/>
          <w:szCs w:val="24"/>
          <w:shd w:val="clear" w:color="auto" w:fill="FFFFFF"/>
          <w:lang w:val="hy-AM"/>
        </w:rPr>
        <w:t xml:space="preserve">ճանապարհի վերակառուցման կամ նորոգման դեպքում </w:t>
      </w:r>
      <w:r w:rsidR="00E94225" w:rsidRPr="005C082A">
        <w:rPr>
          <w:szCs w:val="24"/>
          <w:lang w:val="fr-FR"/>
        </w:rPr>
        <w:t>«</w:t>
      </w:r>
      <w:r w:rsidR="004131D9" w:rsidRPr="005C082A">
        <w:rPr>
          <w:szCs w:val="24"/>
          <w:lang w:val="hy-AM"/>
        </w:rPr>
        <w:t>Ավտոմոբիլային ճանապարհների մասին</w:t>
      </w:r>
      <w:r w:rsidR="00E94225" w:rsidRPr="005C082A">
        <w:rPr>
          <w:szCs w:val="24"/>
          <w:lang w:val="fr-FR"/>
        </w:rPr>
        <w:t>»</w:t>
      </w:r>
      <w:r w:rsidR="004131D9" w:rsidRPr="005C082A">
        <w:rPr>
          <w:szCs w:val="24"/>
          <w:lang w:val="hy-AM"/>
        </w:rPr>
        <w:t xml:space="preserve"> ՀՀ օրենքի 12-րդ հոդվածի 3-րդ մասի պահանջներին անհամապատասխան իրականացնելը հանգեցրել է խեղաթյուրման  </w:t>
      </w:r>
      <w:r w:rsidR="004131D9" w:rsidRPr="005C082A">
        <w:rPr>
          <w:b/>
          <w:i/>
          <w:szCs w:val="24"/>
          <w:u w:val="single"/>
          <w:lang w:val="hy-AM"/>
        </w:rPr>
        <w:t>1,195,638.91 հազ. դրամի</w:t>
      </w:r>
      <w:r w:rsidR="004131D9" w:rsidRPr="005C082A">
        <w:rPr>
          <w:szCs w:val="24"/>
          <w:lang w:val="hy-AM"/>
        </w:rPr>
        <w:t xml:space="preserve"> չափով։</w:t>
      </w:r>
    </w:p>
    <w:p w14:paraId="68ED5DCD" w14:textId="4EE51FDC" w:rsidR="00632EAD" w:rsidRPr="005C082A" w:rsidRDefault="00D62559" w:rsidP="00CB7FEB">
      <w:pPr>
        <w:ind w:firstLine="567"/>
        <w:rPr>
          <w:b/>
          <w:bCs/>
          <w:szCs w:val="24"/>
          <w:lang w:val="hy-AM"/>
        </w:rPr>
      </w:pPr>
      <w:r w:rsidRPr="005C082A">
        <w:rPr>
          <w:b/>
          <w:bCs/>
          <w:szCs w:val="24"/>
          <w:lang w:val="hy-AM"/>
        </w:rPr>
        <w:t>6.3.</w:t>
      </w:r>
      <w:r w:rsidR="00670684" w:rsidRPr="005C082A">
        <w:rPr>
          <w:bCs/>
          <w:szCs w:val="24"/>
          <w:lang w:val="hy-AM"/>
        </w:rPr>
        <w:t xml:space="preserve"> </w:t>
      </w:r>
      <w:r w:rsidR="004131D9" w:rsidRPr="005C082A">
        <w:rPr>
          <w:rFonts w:cs="Arial"/>
          <w:color w:val="000000"/>
          <w:spacing w:val="-5"/>
          <w:lang w:val="hy-AM"/>
        </w:rPr>
        <w:t>Թիվ 5.7</w:t>
      </w:r>
      <w:r w:rsidR="004131D9" w:rsidRPr="005C082A">
        <w:rPr>
          <w:rStyle w:val="Strong"/>
          <w:rFonts w:cs="Arial Unicode"/>
          <w:b w:val="0"/>
          <w:color w:val="000000"/>
          <w:shd w:val="clear" w:color="auto" w:fill="FFFFFF"/>
          <w:lang w:val="hy-AM"/>
        </w:rPr>
        <w:t xml:space="preserve"> անհամապատասխանությունը՝ Փոփոխությունում չառաջնորդվելով ՊԸՊ 3.1 կետի պահանջով, երկաթգծի օտարման շերտի չափերը ընդունել են ՀՀ օրենսդրությամբ սահմանված չափերին անհամապատասխան, ինչը հանգեցրել է խեղաթյուրման </w:t>
      </w:r>
      <w:r w:rsidR="004131D9" w:rsidRPr="005C082A">
        <w:rPr>
          <w:rStyle w:val="Strong"/>
          <w:rFonts w:cs="Arial Unicode"/>
          <w:i/>
          <w:color w:val="000000"/>
          <w:u w:val="single"/>
          <w:shd w:val="clear" w:color="auto" w:fill="FFFFFF"/>
          <w:lang w:val="hy-AM"/>
        </w:rPr>
        <w:t>110,672.08 հազ. դրամի</w:t>
      </w:r>
      <w:r w:rsidR="004131D9" w:rsidRPr="005C082A">
        <w:rPr>
          <w:rStyle w:val="Strong"/>
          <w:rFonts w:cs="Arial Unicode"/>
          <w:b w:val="0"/>
          <w:color w:val="000000"/>
          <w:shd w:val="clear" w:color="auto" w:fill="FFFFFF"/>
          <w:lang w:val="hy-AM"/>
        </w:rPr>
        <w:t xml:space="preserve"> չափով։</w:t>
      </w:r>
    </w:p>
    <w:p w14:paraId="448E05FF" w14:textId="2CDD5141" w:rsidR="00AC7646" w:rsidRPr="005C082A" w:rsidRDefault="00632EAD" w:rsidP="007275B9">
      <w:pPr>
        <w:spacing w:before="0" w:after="160" w:line="259" w:lineRule="auto"/>
        <w:ind w:firstLine="0"/>
        <w:jc w:val="left"/>
        <w:rPr>
          <w:bCs/>
          <w:szCs w:val="24"/>
          <w:lang w:val="hy-AM"/>
        </w:rPr>
      </w:pPr>
      <w:r w:rsidRPr="005C082A">
        <w:rPr>
          <w:bCs/>
          <w:szCs w:val="24"/>
          <w:lang w:val="hy-AM"/>
        </w:rPr>
        <w:br w:type="page"/>
      </w:r>
    </w:p>
    <w:p w14:paraId="7534833F" w14:textId="523009F9" w:rsidR="00AC7646" w:rsidRPr="005C082A" w:rsidRDefault="00AC7646" w:rsidP="008D65F5">
      <w:pPr>
        <w:pStyle w:val="Heading1"/>
        <w:spacing w:after="240"/>
        <w:ind w:left="714" w:right="28" w:hanging="357"/>
      </w:pPr>
      <w:bookmarkStart w:id="26" w:name="_Toc127462667"/>
      <w:bookmarkStart w:id="27" w:name="_Toc128393698"/>
      <w:r w:rsidRPr="005C082A">
        <w:lastRenderedPageBreak/>
        <w:t>ՀԱՇՎԵՔՆՆՈՒԹՅԱՄԲ ԱՐՁԱՆԱԳՐՎԱԾ ԱՅԼ ՓԱՍՏԵՐ</w:t>
      </w:r>
      <w:bookmarkEnd w:id="26"/>
      <w:bookmarkEnd w:id="27"/>
    </w:p>
    <w:p w14:paraId="031D5DA4" w14:textId="02E4263F" w:rsidR="00D62559" w:rsidRPr="005C082A" w:rsidRDefault="00D62559" w:rsidP="00DB1512">
      <w:pPr>
        <w:spacing w:after="0"/>
        <w:ind w:firstLine="0"/>
        <w:contextualSpacing/>
        <w:jc w:val="center"/>
        <w:rPr>
          <w:b/>
          <w:i/>
          <w:szCs w:val="24"/>
          <w:lang w:val="fr-FR"/>
        </w:rPr>
      </w:pPr>
      <w:r w:rsidRPr="005C082A">
        <w:rPr>
          <w:b/>
          <w:i/>
          <w:szCs w:val="24"/>
          <w:lang w:val="hy-AM"/>
        </w:rPr>
        <w:t>Եվրոպական ներդրումային բանկի աջակցությամբ</w:t>
      </w:r>
      <w:r w:rsidRPr="005C082A">
        <w:rPr>
          <w:b/>
          <w:i/>
          <w:szCs w:val="24"/>
          <w:lang w:val="fr-FR"/>
        </w:rPr>
        <w:t xml:space="preserve"> </w:t>
      </w:r>
      <w:r w:rsidRPr="005C082A">
        <w:rPr>
          <w:b/>
          <w:i/>
          <w:szCs w:val="24"/>
          <w:lang w:val="hy-AM"/>
        </w:rPr>
        <w:t>իրականացվող</w:t>
      </w:r>
      <w:r w:rsidRPr="005C082A">
        <w:rPr>
          <w:b/>
          <w:i/>
          <w:szCs w:val="24"/>
          <w:lang w:val="fr-FR"/>
        </w:rPr>
        <w:t xml:space="preserve"> </w:t>
      </w:r>
      <w:r w:rsidRPr="005C082A">
        <w:rPr>
          <w:b/>
          <w:i/>
          <w:szCs w:val="24"/>
          <w:lang w:val="hy-AM"/>
        </w:rPr>
        <w:t>Մ</w:t>
      </w:r>
      <w:r w:rsidRPr="005C082A">
        <w:rPr>
          <w:b/>
          <w:i/>
          <w:szCs w:val="24"/>
          <w:lang w:val="fr-FR"/>
        </w:rPr>
        <w:t xml:space="preserve">6 </w:t>
      </w:r>
      <w:r w:rsidRPr="005C082A">
        <w:rPr>
          <w:b/>
          <w:i/>
          <w:szCs w:val="24"/>
          <w:lang w:val="hy-AM"/>
        </w:rPr>
        <w:t>Վանաձոր</w:t>
      </w:r>
      <w:r w:rsidRPr="005C082A">
        <w:rPr>
          <w:b/>
          <w:i/>
          <w:szCs w:val="24"/>
          <w:lang w:val="fr-FR"/>
        </w:rPr>
        <w:t>-</w:t>
      </w:r>
      <w:r w:rsidRPr="005C082A">
        <w:rPr>
          <w:b/>
          <w:i/>
          <w:szCs w:val="24"/>
          <w:lang w:val="hy-AM"/>
        </w:rPr>
        <w:t>Ալավերդի</w:t>
      </w:r>
      <w:r w:rsidRPr="005C082A">
        <w:rPr>
          <w:b/>
          <w:i/>
          <w:szCs w:val="24"/>
          <w:lang w:val="fr-FR"/>
        </w:rPr>
        <w:t>-</w:t>
      </w:r>
      <w:r w:rsidRPr="005C082A">
        <w:rPr>
          <w:b/>
          <w:i/>
          <w:szCs w:val="24"/>
          <w:lang w:val="hy-AM"/>
        </w:rPr>
        <w:t>Վրաստանի</w:t>
      </w:r>
      <w:r w:rsidRPr="005C082A">
        <w:rPr>
          <w:b/>
          <w:i/>
          <w:szCs w:val="24"/>
          <w:lang w:val="fr-FR"/>
        </w:rPr>
        <w:t xml:space="preserve"> </w:t>
      </w:r>
      <w:r w:rsidRPr="005C082A">
        <w:rPr>
          <w:b/>
          <w:i/>
          <w:szCs w:val="24"/>
          <w:lang w:val="hy-AM"/>
        </w:rPr>
        <w:t>սահման</w:t>
      </w:r>
      <w:r w:rsidRPr="005C082A">
        <w:rPr>
          <w:b/>
          <w:i/>
          <w:szCs w:val="24"/>
          <w:lang w:val="fr-FR"/>
        </w:rPr>
        <w:t xml:space="preserve"> </w:t>
      </w:r>
      <w:r w:rsidRPr="005C082A">
        <w:rPr>
          <w:b/>
          <w:i/>
          <w:szCs w:val="24"/>
          <w:lang w:val="hy-AM"/>
        </w:rPr>
        <w:t>միջպետական</w:t>
      </w:r>
      <w:r w:rsidRPr="005C082A">
        <w:rPr>
          <w:b/>
          <w:i/>
          <w:szCs w:val="24"/>
          <w:lang w:val="fr-FR"/>
        </w:rPr>
        <w:t xml:space="preserve"> </w:t>
      </w:r>
      <w:r w:rsidRPr="005C082A">
        <w:rPr>
          <w:b/>
          <w:i/>
          <w:szCs w:val="24"/>
          <w:lang w:val="hy-AM"/>
        </w:rPr>
        <w:t>նշանակության</w:t>
      </w:r>
      <w:r w:rsidRPr="005C082A">
        <w:rPr>
          <w:b/>
          <w:i/>
          <w:szCs w:val="24"/>
          <w:lang w:val="fr-FR"/>
        </w:rPr>
        <w:t xml:space="preserve"> </w:t>
      </w:r>
      <w:r w:rsidRPr="005C082A">
        <w:rPr>
          <w:b/>
          <w:i/>
          <w:szCs w:val="24"/>
          <w:lang w:val="hy-AM"/>
        </w:rPr>
        <w:t>ճանապարհի</w:t>
      </w:r>
      <w:r w:rsidRPr="005C082A">
        <w:rPr>
          <w:b/>
          <w:i/>
          <w:szCs w:val="24"/>
          <w:lang w:val="fr-FR"/>
        </w:rPr>
        <w:t xml:space="preserve"> </w:t>
      </w:r>
      <w:r w:rsidRPr="005C082A">
        <w:rPr>
          <w:b/>
          <w:i/>
          <w:szCs w:val="24"/>
          <w:lang w:val="hy-AM"/>
        </w:rPr>
        <w:t>վերականգնման և բարելավման</w:t>
      </w:r>
      <w:r w:rsidRPr="005C082A">
        <w:rPr>
          <w:b/>
          <w:i/>
          <w:szCs w:val="24"/>
          <w:lang w:val="fr-FR"/>
        </w:rPr>
        <w:t xml:space="preserve"> </w:t>
      </w:r>
      <w:r w:rsidRPr="005C082A">
        <w:rPr>
          <w:b/>
          <w:i/>
          <w:szCs w:val="24"/>
          <w:lang w:val="hy-AM"/>
        </w:rPr>
        <w:t>ծրագիր</w:t>
      </w:r>
      <w:r w:rsidRPr="005C082A">
        <w:rPr>
          <w:b/>
          <w:i/>
          <w:szCs w:val="24"/>
          <w:lang w:val="fr-FR"/>
        </w:rPr>
        <w:t>:</w:t>
      </w:r>
    </w:p>
    <w:p w14:paraId="189E02DF" w14:textId="75C4F2E7" w:rsidR="00D62559" w:rsidRDefault="00A04F5D" w:rsidP="00BC2B2B">
      <w:pPr>
        <w:ind w:firstLine="567"/>
        <w:rPr>
          <w:szCs w:val="24"/>
          <w:lang w:val="hy-AM"/>
        </w:rPr>
      </w:pPr>
      <w:r w:rsidRPr="005C082A">
        <w:rPr>
          <w:b/>
          <w:szCs w:val="24"/>
          <w:lang w:val="fr-FR"/>
        </w:rPr>
        <w:t>7</w:t>
      </w:r>
      <w:r w:rsidR="00D62559" w:rsidRPr="005C082A">
        <w:rPr>
          <w:b/>
          <w:szCs w:val="24"/>
          <w:lang w:val="hy-AM"/>
        </w:rPr>
        <w:t>.1.</w:t>
      </w:r>
      <w:r w:rsidR="00BC2B2B" w:rsidRPr="005C082A">
        <w:rPr>
          <w:rFonts w:ascii="Calibri" w:hAnsi="Calibri" w:cs="Calibri"/>
          <w:szCs w:val="24"/>
          <w:lang w:val="fr-FR"/>
        </w:rPr>
        <w:t> </w:t>
      </w:r>
      <w:r w:rsidR="00D62559" w:rsidRPr="005C082A">
        <w:rPr>
          <w:szCs w:val="24"/>
          <w:lang w:val="hy-AM"/>
        </w:rPr>
        <w:t xml:space="preserve">Նախահաշիվների կազմման ճշտության ուսումնասիրությունից պարզվել է, որ բնահողերի տեղափոխման աշխատանքների նախահաշվային արժեքներում մեքենա-մեխանիզմների ծախսը հաշվարկվել են 1984թ-ի գներով, գործակցով  անցում կատարելով ՀՀ դրամի, կիրառվելով ՀՀ-ում չգործող Տեղեկատու N3-ում նշված նորմատիվները, մինչդեռ ՀՀ կառավարության </w:t>
      </w:r>
      <w:r w:rsidR="00D62559" w:rsidRPr="005C082A">
        <w:rPr>
          <w:color w:val="000000"/>
          <w:szCs w:val="24"/>
          <w:shd w:val="clear" w:color="auto" w:fill="FFFFFF"/>
          <w:lang w:val="hy-AM"/>
        </w:rPr>
        <w:t>23</w:t>
      </w:r>
      <w:r w:rsidR="00D62559" w:rsidRPr="005C082A">
        <w:rPr>
          <w:rFonts w:ascii="Calibri" w:hAnsi="Calibri" w:cs="Calibri"/>
          <w:color w:val="000000"/>
          <w:szCs w:val="24"/>
          <w:shd w:val="clear" w:color="auto" w:fill="FFFFFF"/>
          <w:lang w:val="hy-AM"/>
        </w:rPr>
        <w:t> </w:t>
      </w:r>
      <w:r w:rsidR="00D62559" w:rsidRPr="005C082A">
        <w:rPr>
          <w:color w:val="000000"/>
          <w:szCs w:val="24"/>
          <w:shd w:val="clear" w:color="auto" w:fill="FFFFFF"/>
          <w:lang w:val="hy-AM"/>
        </w:rPr>
        <w:t xml:space="preserve">հունիսի 2011 թվականի N 879-Ն որոշմամբ հաստատված </w:t>
      </w:r>
      <w:r w:rsidR="00F20F9A" w:rsidRPr="00650A93">
        <w:rPr>
          <w:rFonts w:cs="Segoe UI Historic"/>
          <w:color w:val="000000"/>
          <w:szCs w:val="24"/>
          <w:shd w:val="clear" w:color="auto" w:fill="FFFFFF"/>
          <w:lang w:val="fr-FR"/>
        </w:rPr>
        <w:t>«</w:t>
      </w:r>
      <w:r w:rsidR="00D62559" w:rsidRPr="003810E9">
        <w:rPr>
          <w:color w:val="000000"/>
          <w:szCs w:val="24"/>
          <w:shd w:val="clear" w:color="auto" w:fill="FFFFFF"/>
          <w:lang w:val="hy-AM"/>
        </w:rPr>
        <w:t>Գործող</w:t>
      </w:r>
      <w:r w:rsidR="00D62559" w:rsidRPr="005C082A">
        <w:rPr>
          <w:color w:val="000000"/>
          <w:szCs w:val="24"/>
          <w:shd w:val="clear" w:color="auto" w:fill="FFFFFF"/>
          <w:lang w:val="hy-AM"/>
        </w:rPr>
        <w:t xml:space="preserve"> գներով շինարարական աշխատանքների արժեքի հաշվարկման կարգի</w:t>
      </w:r>
      <w:r w:rsidR="00F20F9A" w:rsidRPr="005C082A">
        <w:rPr>
          <w:color w:val="000000"/>
          <w:szCs w:val="24"/>
          <w:shd w:val="clear" w:color="auto" w:fill="FFFFFF"/>
          <w:lang w:val="fr-FR"/>
        </w:rPr>
        <w:t>»</w:t>
      </w:r>
      <w:r w:rsidR="00D62559" w:rsidRPr="005C082A">
        <w:rPr>
          <w:color w:val="000000"/>
          <w:szCs w:val="24"/>
          <w:shd w:val="clear" w:color="auto" w:fill="FFFFFF"/>
          <w:lang w:val="hy-AM"/>
        </w:rPr>
        <w:t xml:space="preserve"> 20-րդ կետի պահանջի այն պետք է ընդունվի շահագործող կազմակերպության հետ պայմանագրի կամ շինարարական կազմակերպության գներով, ինչը ՀՀ-ում տվյալ ժամանակահատվածում կազմել է 1տ-ն 1կմ տեղափոխելու համար ուղղակի ծախսերում 100 դրամ։ Նշվածի արդյունքում Լոտ 1-ի նախահաշվային արժեքը ավել է հաշվարկվել 835,527.34 հազ դրամով, իսկ Լոտ 3-ինը 759,182.00 հազ. դրամով և ճշտված նախահաշվային արժեքները կկազմեն համապատասխանաբար 4,849,425.54 հազ. դրամ և 5,559,860.00 հազ. դրամ, կամ նշված լոտերի սկզբնական պայմանագրային գները գերազանցում են այդ աշխատանքների ճշտված նախահաշվային արժեքները համապատասխանաբար </w:t>
      </w:r>
      <w:r w:rsidR="00D62559" w:rsidRPr="005C082A">
        <w:rPr>
          <w:b/>
          <w:i/>
          <w:color w:val="000000"/>
          <w:szCs w:val="24"/>
          <w:u w:val="single"/>
          <w:shd w:val="clear" w:color="auto" w:fill="FFFFFF"/>
          <w:lang w:val="hy-AM"/>
        </w:rPr>
        <w:t>380,811.00 հազ. դրամով</w:t>
      </w:r>
      <w:r w:rsidR="00D62559" w:rsidRPr="005C082A">
        <w:rPr>
          <w:color w:val="000000"/>
          <w:szCs w:val="24"/>
          <w:shd w:val="clear" w:color="auto" w:fill="FFFFFF"/>
          <w:lang w:val="hy-AM"/>
        </w:rPr>
        <w:t xml:space="preserve"> և </w:t>
      </w:r>
      <w:r w:rsidR="00D62559" w:rsidRPr="005C082A">
        <w:rPr>
          <w:b/>
          <w:i/>
          <w:color w:val="000000"/>
          <w:szCs w:val="24"/>
          <w:u w:val="single"/>
          <w:shd w:val="clear" w:color="auto" w:fill="FFFFFF"/>
          <w:lang w:val="hy-AM"/>
        </w:rPr>
        <w:t>217,025.78 հազ. դրամով</w:t>
      </w:r>
      <w:r w:rsidR="00D62559" w:rsidRPr="005C082A">
        <w:rPr>
          <w:color w:val="000000"/>
          <w:szCs w:val="24"/>
          <w:shd w:val="clear" w:color="auto" w:fill="FFFFFF"/>
          <w:lang w:val="hy-AM"/>
        </w:rPr>
        <w:t>։</w:t>
      </w:r>
      <w:r w:rsidR="00D62559" w:rsidRPr="005C082A">
        <w:rPr>
          <w:szCs w:val="24"/>
          <w:lang w:val="hy-AM"/>
        </w:rPr>
        <w:t xml:space="preserve"> </w:t>
      </w:r>
    </w:p>
    <w:p w14:paraId="628929E6" w14:textId="77777777" w:rsidR="005C7F84" w:rsidRPr="00C82870" w:rsidRDefault="005C7F84" w:rsidP="00FF16B1">
      <w:pPr>
        <w:spacing w:before="240" w:after="0"/>
        <w:ind w:firstLine="567"/>
        <w:rPr>
          <w:b/>
          <w:sz w:val="20"/>
          <w:szCs w:val="20"/>
          <w:lang w:val="hy-AM"/>
        </w:rPr>
      </w:pPr>
      <w:r w:rsidRPr="00C82870">
        <w:rPr>
          <w:b/>
          <w:sz w:val="20"/>
          <w:szCs w:val="20"/>
          <w:lang w:val="hy-AM"/>
        </w:rPr>
        <w:t>Հաշվեքննության օբյեկտի առարկությունները և բացատրությունները։</w:t>
      </w:r>
    </w:p>
    <w:p w14:paraId="43194D79" w14:textId="77777777" w:rsidR="005C7F84" w:rsidRPr="00C82870" w:rsidRDefault="005C7F84">
      <w:pPr>
        <w:ind w:firstLine="567"/>
        <w:rPr>
          <w:sz w:val="20"/>
          <w:szCs w:val="20"/>
          <w:lang w:val="hy-AM"/>
        </w:rPr>
      </w:pPr>
      <w:r w:rsidRPr="00C82870">
        <w:rPr>
          <w:sz w:val="20"/>
          <w:szCs w:val="20"/>
          <w:lang w:val="hy-AM"/>
        </w:rPr>
        <w:t xml:space="preserve">1. Պարզ չէ, թե ինչ շահագործող կազմակերպության կամ շինարարական ընկերության մասին է խոսքը։ </w:t>
      </w:r>
    </w:p>
    <w:p w14:paraId="3CBDEA88" w14:textId="77777777" w:rsidR="005C7F84" w:rsidRPr="00C82870" w:rsidRDefault="005C7F84">
      <w:pPr>
        <w:ind w:firstLine="567"/>
        <w:rPr>
          <w:sz w:val="20"/>
          <w:szCs w:val="20"/>
          <w:lang w:val="hy-AM"/>
        </w:rPr>
      </w:pPr>
      <w:r w:rsidRPr="00C82870">
        <w:rPr>
          <w:sz w:val="20"/>
          <w:szCs w:val="20"/>
          <w:lang w:val="hy-AM"/>
        </w:rPr>
        <w:t>2</w:t>
      </w:r>
      <w:r w:rsidRPr="00C82870">
        <w:rPr>
          <w:rFonts w:ascii="Cambria Math" w:hAnsi="Cambria Math" w:cs="Cambria Math"/>
          <w:sz w:val="20"/>
          <w:szCs w:val="20"/>
          <w:lang w:val="hy-AM"/>
        </w:rPr>
        <w:t>․</w:t>
      </w:r>
      <w:r w:rsidRPr="00C82870">
        <w:rPr>
          <w:sz w:val="20"/>
          <w:szCs w:val="20"/>
          <w:lang w:val="hy-AM"/>
        </w:rPr>
        <w:t xml:space="preserve"> «ՀՀ նախագծերի պետական արտագերատեսչական փորձաքննություն» ՓԲԸ-ի կողմից 20.10.2015թ-ի թիվ 17/ՊՓ-378/1 գրությամբ տրամադրած փորձագիտական եզրակացությամբ  հավաստվել է նախագծի՝ այդ թվում նաև նախահաշիվների համապատասխանությունը ՀՀ օրենսդրության և նորմատիվատեխնիկական փաստաթղթերի պարտադիր պահանջներին։</w:t>
      </w:r>
    </w:p>
    <w:p w14:paraId="5CDB397F" w14:textId="77777777" w:rsidR="005C7F84" w:rsidRPr="00C82870" w:rsidRDefault="005C7F84" w:rsidP="00FF16B1">
      <w:pPr>
        <w:spacing w:before="240" w:after="0"/>
        <w:ind w:firstLine="567"/>
        <w:rPr>
          <w:b/>
          <w:sz w:val="20"/>
          <w:szCs w:val="20"/>
          <w:lang w:val="hy-AM"/>
        </w:rPr>
      </w:pPr>
      <w:r w:rsidRPr="00C82870">
        <w:rPr>
          <w:sz w:val="20"/>
          <w:szCs w:val="20"/>
          <w:lang w:val="hy-AM"/>
        </w:rPr>
        <w:t>3</w:t>
      </w:r>
      <w:r w:rsidRPr="00C82870">
        <w:rPr>
          <w:rFonts w:ascii="Cambria Math" w:hAnsi="Cambria Math" w:cs="Cambria Math"/>
          <w:sz w:val="20"/>
          <w:szCs w:val="20"/>
          <w:lang w:val="hy-AM"/>
        </w:rPr>
        <w:t>․</w:t>
      </w:r>
      <w:r w:rsidRPr="00C82870">
        <w:rPr>
          <w:sz w:val="20"/>
          <w:szCs w:val="20"/>
          <w:lang w:val="hy-AM"/>
        </w:rPr>
        <w:t xml:space="preserve"> Ի՞նչ հիմունքներով կամ ո՞ր փաստաթղթի հիման վրա է հաշվեքննողի այն պնդումը, որ «ՀՀ-ում տվյալ ժամանակահատվածում կազմել է 1տ-ն 1կմ տեղափոխելու համար ուղղակի ծախսերում 100 դրամ»։</w:t>
      </w:r>
    </w:p>
    <w:p w14:paraId="6139B206" w14:textId="77777777" w:rsidR="005C7F84" w:rsidRPr="00C82870" w:rsidRDefault="005C7F84" w:rsidP="00FF16B1">
      <w:pPr>
        <w:spacing w:before="240" w:after="0"/>
        <w:ind w:firstLine="567"/>
        <w:rPr>
          <w:b/>
          <w:sz w:val="20"/>
          <w:szCs w:val="20"/>
          <w:lang w:val="hy-AM"/>
        </w:rPr>
      </w:pPr>
      <w:r w:rsidRPr="00C82870">
        <w:rPr>
          <w:b/>
          <w:sz w:val="20"/>
          <w:szCs w:val="20"/>
          <w:lang w:val="hy-AM"/>
        </w:rPr>
        <w:t>Հաշվեքննողի մեկնաբանությունը։</w:t>
      </w:r>
    </w:p>
    <w:p w14:paraId="7D6F77CD" w14:textId="77777777" w:rsidR="005C7F84" w:rsidRPr="00FF16B1" w:rsidRDefault="005C7F84" w:rsidP="00FF16B1">
      <w:pPr>
        <w:pStyle w:val="ListParagraph"/>
        <w:numPr>
          <w:ilvl w:val="0"/>
          <w:numId w:val="38"/>
        </w:numPr>
        <w:spacing w:before="240" w:after="0" w:line="276" w:lineRule="auto"/>
        <w:ind w:left="0" w:firstLine="567"/>
        <w:jc w:val="both"/>
        <w:rPr>
          <w:rFonts w:ascii="GHEA Grapalat" w:hAnsi="GHEA Grapalat"/>
          <w:color w:val="000000"/>
          <w:sz w:val="20"/>
          <w:szCs w:val="20"/>
          <w:shd w:val="clear" w:color="auto" w:fill="FFFFFF"/>
          <w:lang w:val="fr-FR"/>
        </w:rPr>
      </w:pPr>
      <w:r w:rsidRPr="00FF16B1">
        <w:rPr>
          <w:rFonts w:ascii="GHEA Grapalat" w:hAnsi="GHEA Grapalat"/>
          <w:sz w:val="20"/>
          <w:szCs w:val="20"/>
          <w:lang w:val="hy-AM"/>
        </w:rPr>
        <w:lastRenderedPageBreak/>
        <w:t xml:space="preserve">Մեջբերումը կատարված է ՀՀ կառավարության </w:t>
      </w:r>
      <w:r w:rsidRPr="00FF16B1">
        <w:rPr>
          <w:rFonts w:ascii="GHEA Grapalat" w:hAnsi="GHEA Grapalat"/>
          <w:color w:val="000000"/>
          <w:sz w:val="20"/>
          <w:szCs w:val="20"/>
          <w:shd w:val="clear" w:color="auto" w:fill="FFFFFF"/>
          <w:lang w:val="hy-AM"/>
        </w:rPr>
        <w:t xml:space="preserve">2011 թվականի հունիսի 23-ի N 879-Ն որոշմամբ հաստատված </w:t>
      </w:r>
      <w:r w:rsidRPr="00FF16B1">
        <w:rPr>
          <w:rFonts w:ascii="GHEA Grapalat" w:hAnsi="GHEA Grapalat" w:cs="Segoe UI Historic"/>
          <w:color w:val="000000"/>
          <w:sz w:val="20"/>
          <w:szCs w:val="20"/>
          <w:shd w:val="clear" w:color="auto" w:fill="FFFFFF"/>
          <w:lang w:val="fr-FR"/>
        </w:rPr>
        <w:t>«</w:t>
      </w:r>
      <w:r w:rsidRPr="00FF16B1">
        <w:rPr>
          <w:rFonts w:ascii="GHEA Grapalat" w:hAnsi="GHEA Grapalat"/>
          <w:color w:val="000000"/>
          <w:sz w:val="20"/>
          <w:szCs w:val="20"/>
          <w:shd w:val="clear" w:color="auto" w:fill="FFFFFF"/>
          <w:lang w:val="hy-AM"/>
        </w:rPr>
        <w:t>Գործող գներով շինարարական աշխատանքների արժեքի հաշվարկման կարգից</w:t>
      </w:r>
      <w:r w:rsidRPr="00FF16B1">
        <w:rPr>
          <w:rFonts w:ascii="GHEA Grapalat" w:hAnsi="GHEA Grapalat"/>
          <w:color w:val="000000"/>
          <w:sz w:val="20"/>
          <w:szCs w:val="20"/>
          <w:shd w:val="clear" w:color="auto" w:fill="FFFFFF"/>
          <w:lang w:val="fr-FR"/>
        </w:rPr>
        <w:t>»։ Այնտեղ նշված տերմինների վերաբերյալ պարզաբանում ստանալու համար անհրաժեշտ է դիմել համապատասխան պետական լիազորված մարմնին։</w:t>
      </w:r>
    </w:p>
    <w:p w14:paraId="3853FBB1" w14:textId="77777777" w:rsidR="005C7F84" w:rsidRPr="00FF16B1" w:rsidRDefault="005C7F84" w:rsidP="00FF16B1">
      <w:pPr>
        <w:pStyle w:val="ListParagraph"/>
        <w:numPr>
          <w:ilvl w:val="0"/>
          <w:numId w:val="38"/>
        </w:numPr>
        <w:spacing w:before="240" w:after="0" w:line="276" w:lineRule="auto"/>
        <w:ind w:left="0" w:firstLine="567"/>
        <w:jc w:val="both"/>
        <w:rPr>
          <w:rFonts w:ascii="GHEA Grapalat" w:hAnsi="GHEA Grapalat"/>
          <w:sz w:val="20"/>
          <w:szCs w:val="20"/>
          <w:lang w:val="hy-AM"/>
        </w:rPr>
      </w:pPr>
      <w:r w:rsidRPr="00FF16B1">
        <w:rPr>
          <w:rFonts w:ascii="GHEA Grapalat" w:hAnsi="GHEA Grapalat"/>
          <w:sz w:val="20"/>
          <w:szCs w:val="20"/>
          <w:lang w:val="en-GB"/>
        </w:rPr>
        <w:t>Այլ</w:t>
      </w:r>
      <w:r w:rsidRPr="00FF16B1">
        <w:rPr>
          <w:rFonts w:ascii="GHEA Grapalat" w:hAnsi="GHEA Grapalat"/>
          <w:sz w:val="20"/>
          <w:szCs w:val="20"/>
          <w:lang w:val="fr-FR"/>
        </w:rPr>
        <w:t xml:space="preserve"> </w:t>
      </w:r>
      <w:r w:rsidRPr="00FF16B1">
        <w:rPr>
          <w:rFonts w:ascii="GHEA Grapalat" w:hAnsi="GHEA Grapalat"/>
          <w:sz w:val="20"/>
          <w:szCs w:val="20"/>
          <w:lang w:val="en-GB"/>
        </w:rPr>
        <w:t>փաստում</w:t>
      </w:r>
      <w:r w:rsidRPr="00FF16B1">
        <w:rPr>
          <w:rFonts w:ascii="GHEA Grapalat" w:hAnsi="GHEA Grapalat"/>
          <w:sz w:val="20"/>
          <w:szCs w:val="20"/>
          <w:lang w:val="fr-FR"/>
        </w:rPr>
        <w:t xml:space="preserve"> </w:t>
      </w:r>
      <w:r w:rsidRPr="00FF16B1">
        <w:rPr>
          <w:rFonts w:ascii="GHEA Grapalat" w:hAnsi="GHEA Grapalat"/>
          <w:sz w:val="20"/>
          <w:szCs w:val="20"/>
          <w:lang w:val="en-GB"/>
        </w:rPr>
        <w:t>հստակ</w:t>
      </w:r>
      <w:r w:rsidRPr="00FF16B1">
        <w:rPr>
          <w:rFonts w:ascii="GHEA Grapalat" w:hAnsi="GHEA Grapalat"/>
          <w:sz w:val="20"/>
          <w:szCs w:val="20"/>
          <w:lang w:val="fr-FR"/>
        </w:rPr>
        <w:t xml:space="preserve"> </w:t>
      </w:r>
      <w:r w:rsidRPr="00FF16B1">
        <w:rPr>
          <w:rFonts w:ascii="GHEA Grapalat" w:hAnsi="GHEA Grapalat"/>
          <w:sz w:val="20"/>
          <w:szCs w:val="20"/>
          <w:lang w:val="en-GB"/>
        </w:rPr>
        <w:t>նշել</w:t>
      </w:r>
      <w:r w:rsidRPr="00FF16B1">
        <w:rPr>
          <w:rFonts w:ascii="GHEA Grapalat" w:hAnsi="GHEA Grapalat"/>
          <w:sz w:val="20"/>
          <w:szCs w:val="20"/>
          <w:lang w:val="fr-FR"/>
        </w:rPr>
        <w:t xml:space="preserve"> </w:t>
      </w:r>
      <w:r w:rsidRPr="00FF16B1">
        <w:rPr>
          <w:rFonts w:ascii="GHEA Grapalat" w:hAnsi="GHEA Grapalat"/>
          <w:sz w:val="20"/>
          <w:szCs w:val="20"/>
          <w:lang w:val="en-GB"/>
        </w:rPr>
        <w:t>ենք</w:t>
      </w:r>
      <w:r w:rsidRPr="00FF16B1">
        <w:rPr>
          <w:rFonts w:ascii="GHEA Grapalat" w:hAnsi="GHEA Grapalat"/>
          <w:sz w:val="20"/>
          <w:szCs w:val="20"/>
          <w:lang w:val="fr-FR"/>
        </w:rPr>
        <w:t xml:space="preserve"> </w:t>
      </w:r>
      <w:r w:rsidRPr="00FF16B1">
        <w:rPr>
          <w:rFonts w:ascii="GHEA Grapalat" w:hAnsi="GHEA Grapalat"/>
          <w:sz w:val="20"/>
          <w:szCs w:val="20"/>
          <w:lang w:val="en-GB"/>
        </w:rPr>
        <w:t>այնի</w:t>
      </w:r>
      <w:r w:rsidRPr="00FF16B1">
        <w:rPr>
          <w:rFonts w:ascii="GHEA Grapalat" w:hAnsi="GHEA Grapalat"/>
          <w:sz w:val="20"/>
          <w:szCs w:val="20"/>
          <w:lang w:val="fr-FR"/>
        </w:rPr>
        <w:t xml:space="preserve"> </w:t>
      </w:r>
      <w:r w:rsidRPr="00FF16B1">
        <w:rPr>
          <w:rFonts w:ascii="GHEA Grapalat" w:hAnsi="GHEA Grapalat"/>
          <w:sz w:val="20"/>
          <w:szCs w:val="20"/>
          <w:lang w:val="en-GB"/>
        </w:rPr>
        <w:t>իրավական</w:t>
      </w:r>
      <w:r w:rsidRPr="00FF16B1">
        <w:rPr>
          <w:rFonts w:ascii="GHEA Grapalat" w:hAnsi="GHEA Grapalat"/>
          <w:sz w:val="20"/>
          <w:szCs w:val="20"/>
          <w:lang w:val="fr-FR"/>
        </w:rPr>
        <w:t xml:space="preserve"> </w:t>
      </w:r>
      <w:r w:rsidRPr="00FF16B1">
        <w:rPr>
          <w:rFonts w:ascii="GHEA Grapalat" w:hAnsi="GHEA Grapalat"/>
          <w:sz w:val="20"/>
          <w:szCs w:val="20"/>
          <w:lang w:val="en-GB"/>
        </w:rPr>
        <w:t>ակտի</w:t>
      </w:r>
      <w:r w:rsidRPr="00FF16B1">
        <w:rPr>
          <w:rFonts w:ascii="GHEA Grapalat" w:hAnsi="GHEA Grapalat"/>
          <w:sz w:val="20"/>
          <w:szCs w:val="20"/>
          <w:lang w:val="fr-FR"/>
        </w:rPr>
        <w:t xml:space="preserve"> </w:t>
      </w:r>
      <w:r w:rsidRPr="00FF16B1">
        <w:rPr>
          <w:rFonts w:ascii="GHEA Grapalat" w:hAnsi="GHEA Grapalat"/>
          <w:sz w:val="20"/>
          <w:szCs w:val="20"/>
          <w:lang w:val="en-GB"/>
        </w:rPr>
        <w:t>անվանումը</w:t>
      </w:r>
      <w:r w:rsidRPr="00FF16B1">
        <w:rPr>
          <w:rFonts w:ascii="GHEA Grapalat" w:hAnsi="GHEA Grapalat"/>
          <w:sz w:val="20"/>
          <w:szCs w:val="20"/>
          <w:lang w:val="fr-FR"/>
        </w:rPr>
        <w:t xml:space="preserve"> </w:t>
      </w:r>
      <w:r w:rsidRPr="00FF16B1">
        <w:rPr>
          <w:rFonts w:ascii="GHEA Grapalat" w:hAnsi="GHEA Grapalat"/>
          <w:sz w:val="20"/>
          <w:szCs w:val="20"/>
          <w:lang w:val="en-GB"/>
        </w:rPr>
        <w:t>և</w:t>
      </w:r>
      <w:r w:rsidRPr="00FF16B1">
        <w:rPr>
          <w:rFonts w:ascii="GHEA Grapalat" w:hAnsi="GHEA Grapalat"/>
          <w:sz w:val="20"/>
          <w:szCs w:val="20"/>
          <w:lang w:val="fr-FR"/>
        </w:rPr>
        <w:t xml:space="preserve"> </w:t>
      </w:r>
      <w:r w:rsidRPr="00FF16B1">
        <w:rPr>
          <w:rFonts w:ascii="GHEA Grapalat" w:hAnsi="GHEA Grapalat"/>
          <w:sz w:val="20"/>
          <w:szCs w:val="20"/>
          <w:lang w:val="en-GB"/>
        </w:rPr>
        <w:t>կետի</w:t>
      </w:r>
      <w:r w:rsidRPr="00FF16B1">
        <w:rPr>
          <w:rFonts w:ascii="GHEA Grapalat" w:hAnsi="GHEA Grapalat"/>
          <w:sz w:val="20"/>
          <w:szCs w:val="20"/>
          <w:lang w:val="fr-FR"/>
        </w:rPr>
        <w:t xml:space="preserve"> </w:t>
      </w:r>
      <w:r w:rsidRPr="00FF16B1">
        <w:rPr>
          <w:rFonts w:ascii="GHEA Grapalat" w:hAnsi="GHEA Grapalat"/>
          <w:sz w:val="20"/>
          <w:szCs w:val="20"/>
          <w:lang w:val="en-GB"/>
        </w:rPr>
        <w:t>պահանջը</w:t>
      </w:r>
      <w:r w:rsidRPr="00FF16B1">
        <w:rPr>
          <w:rFonts w:ascii="GHEA Grapalat" w:hAnsi="GHEA Grapalat"/>
          <w:sz w:val="20"/>
          <w:szCs w:val="20"/>
          <w:lang w:val="fr-FR"/>
        </w:rPr>
        <w:t xml:space="preserve"> որին անհամապատասխան կատարվել է նախահաշվային արժեքի հաշվարկը։</w:t>
      </w:r>
    </w:p>
    <w:p w14:paraId="512C9ABF" w14:textId="4AFEC3A2" w:rsidR="005C7F84" w:rsidRPr="00FF16B1" w:rsidRDefault="005C7F84" w:rsidP="00FF16B1">
      <w:pPr>
        <w:pStyle w:val="ListParagraph"/>
        <w:numPr>
          <w:ilvl w:val="0"/>
          <w:numId w:val="38"/>
        </w:numPr>
        <w:spacing w:before="240" w:after="0" w:line="276" w:lineRule="auto"/>
        <w:ind w:left="0" w:firstLine="567"/>
        <w:jc w:val="both"/>
        <w:rPr>
          <w:rFonts w:ascii="GHEA Grapalat" w:hAnsi="GHEA Grapalat"/>
          <w:sz w:val="20"/>
          <w:szCs w:val="20"/>
          <w:lang w:val="hy-AM"/>
        </w:rPr>
      </w:pPr>
      <w:r w:rsidRPr="00FF16B1">
        <w:rPr>
          <w:rFonts w:ascii="GHEA Grapalat" w:hAnsi="GHEA Grapalat"/>
          <w:sz w:val="20"/>
          <w:szCs w:val="20"/>
          <w:lang w:val="hy-AM"/>
        </w:rPr>
        <w:t>1 տ-ն 1</w:t>
      </w:r>
      <w:r w:rsidR="00C82870" w:rsidRPr="00FF16B1">
        <w:rPr>
          <w:rFonts w:ascii="GHEA Grapalat" w:hAnsi="GHEA Grapalat"/>
          <w:sz w:val="20"/>
          <w:szCs w:val="20"/>
          <w:lang w:val="hy-AM"/>
        </w:rPr>
        <w:t xml:space="preserve"> </w:t>
      </w:r>
      <w:r w:rsidRPr="00FF16B1">
        <w:rPr>
          <w:rFonts w:ascii="GHEA Grapalat" w:hAnsi="GHEA Grapalat"/>
          <w:sz w:val="20"/>
          <w:szCs w:val="20"/>
          <w:lang w:val="hy-AM"/>
        </w:rPr>
        <w:t>կմ տեղափոխելու տվյալ ժամանակահատվածի գնի համար հիմք ենք ընդունել</w:t>
      </w:r>
    </w:p>
    <w:p w14:paraId="37397F75" w14:textId="77777777" w:rsidR="005C7F84" w:rsidRPr="00FF16B1" w:rsidRDefault="005C7F84" w:rsidP="00FF16B1">
      <w:pPr>
        <w:pStyle w:val="ListParagraph"/>
        <w:spacing w:before="240" w:after="0" w:line="276" w:lineRule="auto"/>
        <w:ind w:left="0" w:firstLine="567"/>
        <w:jc w:val="both"/>
        <w:rPr>
          <w:rFonts w:ascii="GHEA Grapalat" w:hAnsi="GHEA Grapalat"/>
          <w:sz w:val="20"/>
          <w:szCs w:val="20"/>
          <w:lang w:val="hy-AM"/>
        </w:rPr>
      </w:pPr>
      <w:r w:rsidRPr="00FF16B1">
        <w:rPr>
          <w:rFonts w:ascii="GHEA Grapalat" w:hAnsi="GHEA Grapalat"/>
          <w:sz w:val="20"/>
          <w:szCs w:val="20"/>
          <w:lang w:val="hy-AM"/>
        </w:rPr>
        <w:t xml:space="preserve">- տվյալ օբյեկտի Կապալառու հանդիսացող «Արարատ-Ճանշին» ՍՊԸ-ի և «Բետոնիկա» ՍՊԸ-ի միջև 2017 թվականի մայիսի 2-ին կնքված ծառայութունների մատուցման (բեռնափոխադրման) պայմանագիրը, որով 1 տոննա բեռի 1-կմ տեղափոխման գինը սահմանվել է </w:t>
      </w:r>
      <w:r w:rsidRPr="00FF16B1">
        <w:rPr>
          <w:rFonts w:ascii="GHEA Grapalat" w:hAnsi="GHEA Grapalat"/>
          <w:b/>
          <w:i/>
          <w:sz w:val="20"/>
          <w:szCs w:val="20"/>
          <w:u w:val="single"/>
          <w:lang w:val="hy-AM"/>
        </w:rPr>
        <w:t>50 դրամ</w:t>
      </w:r>
      <w:r w:rsidRPr="00FF16B1">
        <w:rPr>
          <w:rFonts w:ascii="GHEA Grapalat" w:hAnsi="GHEA Grapalat"/>
          <w:sz w:val="20"/>
          <w:szCs w:val="20"/>
          <w:lang w:val="hy-AM"/>
        </w:rPr>
        <w:t>։</w:t>
      </w:r>
    </w:p>
    <w:p w14:paraId="33DB7ED3" w14:textId="77777777" w:rsidR="005C7F84" w:rsidRPr="00FF16B1" w:rsidRDefault="005C7F84" w:rsidP="00FF16B1">
      <w:pPr>
        <w:pStyle w:val="ListParagraph"/>
        <w:spacing w:before="240" w:after="0" w:line="276" w:lineRule="auto"/>
        <w:ind w:left="0" w:firstLine="567"/>
        <w:jc w:val="both"/>
        <w:rPr>
          <w:rFonts w:ascii="GHEA Grapalat" w:hAnsi="GHEA Grapalat"/>
          <w:b/>
          <w:i/>
          <w:sz w:val="20"/>
          <w:szCs w:val="20"/>
          <w:u w:val="single"/>
          <w:lang w:val="hy-AM"/>
        </w:rPr>
      </w:pPr>
      <w:r w:rsidRPr="00FF16B1">
        <w:rPr>
          <w:rFonts w:ascii="GHEA Grapalat" w:hAnsi="GHEA Grapalat"/>
          <w:sz w:val="20"/>
          <w:szCs w:val="20"/>
          <w:lang w:val="hy-AM"/>
        </w:rPr>
        <w:t xml:space="preserve">- Արցախի Հանրապետության քաղաքաշինության նախարարության կողմից թողարկվող 2017թվականի ամենամսյա տեղեկագրերում սահմանված գները` 1 տոննա բեռի 1-կմ տեղափոխման համար </w:t>
      </w:r>
      <w:r w:rsidRPr="00FF16B1">
        <w:rPr>
          <w:rFonts w:ascii="GHEA Grapalat" w:hAnsi="GHEA Grapalat"/>
          <w:b/>
          <w:i/>
          <w:sz w:val="20"/>
          <w:szCs w:val="20"/>
          <w:u w:val="single"/>
          <w:lang w:val="hy-AM"/>
        </w:rPr>
        <w:t>34 դրամից 45 դրամ։</w:t>
      </w:r>
    </w:p>
    <w:p w14:paraId="069D3DE5" w14:textId="77777777" w:rsidR="005C7F84" w:rsidRPr="00FF16B1" w:rsidRDefault="005C7F84" w:rsidP="00FF16B1">
      <w:pPr>
        <w:pStyle w:val="ListParagraph"/>
        <w:spacing w:before="240" w:after="0" w:line="276" w:lineRule="auto"/>
        <w:ind w:left="0" w:firstLine="567"/>
        <w:jc w:val="both"/>
        <w:rPr>
          <w:rFonts w:ascii="GHEA Grapalat" w:hAnsi="GHEA Grapalat"/>
          <w:b/>
          <w:i/>
          <w:sz w:val="20"/>
          <w:szCs w:val="20"/>
          <w:u w:val="single"/>
          <w:lang w:val="hy-AM"/>
        </w:rPr>
      </w:pPr>
      <w:r w:rsidRPr="00FF16B1">
        <w:rPr>
          <w:rFonts w:ascii="GHEA Grapalat" w:hAnsi="GHEA Grapalat"/>
          <w:sz w:val="20"/>
          <w:szCs w:val="20"/>
          <w:lang w:val="hy-AM"/>
        </w:rPr>
        <w:t xml:space="preserve">- Շուկայի ուսումնասիրության արդյունքները՝ 1 տոննա բեռի 1-կմ տեղափոխման համար </w:t>
      </w:r>
      <w:r w:rsidRPr="00FF16B1">
        <w:rPr>
          <w:rFonts w:ascii="GHEA Grapalat" w:hAnsi="GHEA Grapalat"/>
          <w:b/>
          <w:i/>
          <w:sz w:val="20"/>
          <w:szCs w:val="20"/>
          <w:u w:val="single"/>
          <w:lang w:val="hy-AM"/>
        </w:rPr>
        <w:t xml:space="preserve">40 դրամից 100 դրամ </w:t>
      </w:r>
      <w:r w:rsidRPr="00FF16B1">
        <w:rPr>
          <w:rFonts w:ascii="GHEA Grapalat" w:hAnsi="GHEA Grapalat"/>
          <w:sz w:val="20"/>
          <w:szCs w:val="20"/>
          <w:lang w:val="hy-AM"/>
        </w:rPr>
        <w:t>(կախված բեռնատարողությունից և մակնիշից)։</w:t>
      </w:r>
    </w:p>
    <w:p w14:paraId="423C54AE" w14:textId="77777777" w:rsidR="005C7F84" w:rsidRPr="00FF16B1" w:rsidRDefault="005C7F84" w:rsidP="00FF16B1">
      <w:pPr>
        <w:pStyle w:val="ListParagraph"/>
        <w:spacing w:before="240" w:after="0" w:line="276" w:lineRule="auto"/>
        <w:ind w:left="0" w:firstLine="567"/>
        <w:jc w:val="both"/>
        <w:rPr>
          <w:rFonts w:ascii="GHEA Grapalat" w:hAnsi="GHEA Grapalat"/>
          <w:sz w:val="20"/>
          <w:szCs w:val="20"/>
          <w:lang w:val="hy-AM"/>
        </w:rPr>
      </w:pPr>
      <w:r w:rsidRPr="00FF16B1">
        <w:rPr>
          <w:rFonts w:ascii="GHEA Grapalat" w:hAnsi="GHEA Grapalat"/>
          <w:sz w:val="20"/>
          <w:szCs w:val="20"/>
          <w:lang w:val="hy-AM"/>
        </w:rPr>
        <w:t>Ընդունել ենք նշված գներից առավելագույնը՝ 100 դրամը։</w:t>
      </w:r>
    </w:p>
    <w:p w14:paraId="00E0D187" w14:textId="62D8C777" w:rsidR="00D62559" w:rsidRPr="005C082A" w:rsidRDefault="00A04F5D" w:rsidP="00BC2B2B">
      <w:pPr>
        <w:ind w:firstLine="567"/>
        <w:rPr>
          <w:szCs w:val="24"/>
          <w:lang w:val="hy-AM"/>
        </w:rPr>
      </w:pPr>
      <w:r w:rsidRPr="005C082A">
        <w:rPr>
          <w:b/>
          <w:szCs w:val="24"/>
          <w:lang w:val="hy-AM"/>
        </w:rPr>
        <w:t>7</w:t>
      </w:r>
      <w:r w:rsidR="00AE7C09" w:rsidRPr="005C082A">
        <w:rPr>
          <w:b/>
          <w:szCs w:val="24"/>
          <w:lang w:val="hy-AM"/>
        </w:rPr>
        <w:t>.2</w:t>
      </w:r>
      <w:r w:rsidR="00D62559" w:rsidRPr="005C082A">
        <w:rPr>
          <w:b/>
          <w:szCs w:val="24"/>
          <w:lang w:val="hy-AM"/>
        </w:rPr>
        <w:t>.</w:t>
      </w:r>
      <w:r w:rsidR="00BC2B2B" w:rsidRPr="005C082A">
        <w:rPr>
          <w:rFonts w:ascii="Calibri" w:hAnsi="Calibri" w:cs="Calibri"/>
          <w:szCs w:val="24"/>
          <w:lang w:val="hy-AM"/>
        </w:rPr>
        <w:t> </w:t>
      </w:r>
      <w:r w:rsidR="00D62559" w:rsidRPr="005C082A">
        <w:rPr>
          <w:szCs w:val="24"/>
          <w:lang w:val="hy-AM"/>
        </w:rPr>
        <w:t xml:space="preserve">Աշխատանքների իրականացման ընթացքում կատարված փոփոխությունների արդյունքում էականորեն փոփոխվել են աշխատանքների ծավալներն և անվանումները։ </w:t>
      </w:r>
      <w:r w:rsidR="00D62559" w:rsidRPr="005C082A">
        <w:rPr>
          <w:rFonts w:eastAsia="Times New Roman" w:cs="Calibri"/>
          <w:color w:val="000000"/>
          <w:szCs w:val="24"/>
          <w:lang w:val="hy-AM"/>
        </w:rPr>
        <w:t xml:space="preserve">Փոփոխության հրահանգներով նվազեցրած և ավելացրած աշխատանքների համարժեքության ուսումնասիրությամբ պարզվել է, որ </w:t>
      </w:r>
    </w:p>
    <w:p w14:paraId="4BD2C81D" w14:textId="5BE082E8" w:rsidR="00D62559" w:rsidRPr="005C082A" w:rsidRDefault="00D62559" w:rsidP="00BC2B2B">
      <w:pPr>
        <w:ind w:firstLine="567"/>
        <w:rPr>
          <w:szCs w:val="24"/>
          <w:lang w:val="hy-AM"/>
        </w:rPr>
      </w:pPr>
      <w:r w:rsidRPr="005C082A">
        <w:rPr>
          <w:szCs w:val="24"/>
          <w:lang w:val="hy-AM"/>
        </w:rPr>
        <w:t>- N M6-ICB/CW-01-3 (Լոտ3) պայմանագրով սկզբնական նախատեսված 5,776,885.79 հազ. դրամ աշխատանքների փոխարեն, փոփոխությունների արդյունքում, կատարողականներով հաշվարկվել և վճարվել են 7,169,473.00 հազ. դրամի աշխատանքներ, որոնցից միայն 1,578,065.00 հազ. դրամի աշխատանքներն են սկզբնական պայմանագրով և նախագծով նախատեսված աշխատանքները կամ ընդամենը 22%-ը։ Փոփոխությունների արդյունքում ավելացվել են 3,088,699.00 հազ. դրամի աշխատանքներ և նվազեցվել են 1,693,247.00 հազ. դրամի աշխատանքներ։ Ավելացված և նվազեցված աշխատանքների համարժեքության ուսումնասիրությունից պարզվել է, որ ավելացված աշխատանքների նախահաշվային արժեքը ՀՀ կառավարության 23.06.2011թ.-ի թիվ 879-Ն որոշմամբ հաստատված «գործող գներով շինարարական աշխատանքների արժեքի հաշվարկման կարգի»-ին համապատասխան հաշվարկի դեպքում կազմում է 2,799,568.00 հազ. դրամ, իսկ նվազեցված  աշխատանքներինը՝ 2,265,160.00 հազ. դրամ կամ լրացուցիչ կատարված աշխատանքների նախահաշվային արժեքը գերազանցում է չկատարված աշխատանքների նախահաշվային արժեքը ընդամենը 534,408.00 հազ. դրամով, այնինչ՝ պայմանագրային գինն ավելացվել է 1,395,452.00 հազ. դրամով։</w:t>
      </w:r>
    </w:p>
    <w:p w14:paraId="7053D07B" w14:textId="2065C25D" w:rsidR="00D62559" w:rsidRPr="005C082A" w:rsidRDefault="00D62559" w:rsidP="00BC2B2B">
      <w:pPr>
        <w:ind w:firstLine="567"/>
        <w:rPr>
          <w:szCs w:val="24"/>
          <w:lang w:val="hy-AM"/>
        </w:rPr>
      </w:pPr>
      <w:r w:rsidRPr="005C082A">
        <w:rPr>
          <w:szCs w:val="24"/>
          <w:lang w:val="hy-AM"/>
        </w:rPr>
        <w:lastRenderedPageBreak/>
        <w:t xml:space="preserve">Այսպիսով ՀՀ կառավարության </w:t>
      </w:r>
      <w:r w:rsidRPr="005C082A">
        <w:rPr>
          <w:color w:val="000000"/>
          <w:szCs w:val="24"/>
          <w:shd w:val="clear" w:color="auto" w:fill="FFFFFF"/>
          <w:lang w:val="hy-AM"/>
        </w:rPr>
        <w:t>23</w:t>
      </w:r>
      <w:r w:rsidRPr="005C082A">
        <w:rPr>
          <w:rFonts w:ascii="Calibri" w:hAnsi="Calibri" w:cs="Calibri"/>
          <w:color w:val="000000"/>
          <w:szCs w:val="24"/>
          <w:shd w:val="clear" w:color="auto" w:fill="FFFFFF"/>
          <w:lang w:val="hy-AM"/>
        </w:rPr>
        <w:t> </w:t>
      </w:r>
      <w:r w:rsidRPr="005C082A">
        <w:rPr>
          <w:color w:val="000000"/>
          <w:szCs w:val="24"/>
          <w:shd w:val="clear" w:color="auto" w:fill="FFFFFF"/>
          <w:lang w:val="hy-AM"/>
        </w:rPr>
        <w:t>հունիսի 2011 թվականի N 879-Ն որոշմամբ հաստատված</w:t>
      </w:r>
      <w:r w:rsidR="00E94225" w:rsidRPr="005C082A">
        <w:rPr>
          <w:color w:val="000000"/>
          <w:szCs w:val="24"/>
          <w:shd w:val="clear" w:color="auto" w:fill="FFFFFF"/>
          <w:lang w:val="hy-AM"/>
        </w:rPr>
        <w:t xml:space="preserve"> «</w:t>
      </w:r>
      <w:r w:rsidRPr="005C082A">
        <w:rPr>
          <w:color w:val="000000"/>
          <w:szCs w:val="24"/>
          <w:shd w:val="clear" w:color="auto" w:fill="FFFFFF"/>
          <w:lang w:val="hy-AM"/>
        </w:rPr>
        <w:t>Գործող գներով շինարարական աշխատանքների արժեքի հաշվարկման կարգի</w:t>
      </w:r>
      <w:r w:rsidR="00E94225" w:rsidRPr="005C082A">
        <w:rPr>
          <w:color w:val="000000"/>
          <w:szCs w:val="24"/>
          <w:shd w:val="clear" w:color="auto" w:fill="FFFFFF"/>
          <w:lang w:val="hy-AM"/>
        </w:rPr>
        <w:t>»</w:t>
      </w:r>
      <w:r w:rsidRPr="005C082A">
        <w:rPr>
          <w:color w:val="000000"/>
          <w:szCs w:val="24"/>
          <w:shd w:val="clear" w:color="auto" w:fill="FFFFFF"/>
          <w:lang w:val="hy-AM"/>
        </w:rPr>
        <w:t xml:space="preserve">-ին համապատասխան հաշվարկով ստացվող </w:t>
      </w:r>
      <w:r w:rsidRPr="005C082A">
        <w:rPr>
          <w:szCs w:val="24"/>
          <w:lang w:val="hy-AM"/>
        </w:rPr>
        <w:t xml:space="preserve">6,094,268.00 հազ. դրամ նախահաշվային արժեքով աշխատանքների համար, փոփոխությունների արդյունքում սահմանվել է 7,169,473.00 հազ. դրամ պայմանագրային գին, որն ամբողջությամբ հաշվարկվել և վճարվել է վճարման սերտիֆիկատներով, կամ փաստացի կատարված աշխատանքների համար հաշվարկված և վճարված գումարը </w:t>
      </w:r>
      <w:r w:rsidRPr="005C082A">
        <w:rPr>
          <w:b/>
          <w:i/>
          <w:szCs w:val="24"/>
          <w:u w:val="single"/>
          <w:lang w:val="hy-AM"/>
        </w:rPr>
        <w:t xml:space="preserve">1,075,205.00 հազ. դրամով </w:t>
      </w:r>
      <w:r w:rsidRPr="005C082A">
        <w:rPr>
          <w:szCs w:val="24"/>
          <w:lang w:val="hy-AM"/>
        </w:rPr>
        <w:t>գերազանցում է այդ աշխատանքների՝ սահմանված կարգով հաշվարկի դեպքում ստացվող նախահաշվային արժեքը։</w:t>
      </w:r>
    </w:p>
    <w:p w14:paraId="5A720315" w14:textId="77777777" w:rsidR="00D62559" w:rsidRPr="005C082A" w:rsidRDefault="00D62559" w:rsidP="00BC2B2B">
      <w:pPr>
        <w:ind w:firstLine="567"/>
        <w:rPr>
          <w:szCs w:val="24"/>
          <w:lang w:val="hy-AM"/>
        </w:rPr>
      </w:pPr>
      <w:r w:rsidRPr="005C082A">
        <w:rPr>
          <w:szCs w:val="24"/>
          <w:lang w:val="hy-AM"/>
        </w:rPr>
        <w:t>- N M6-ICB/CW-01-2 (Լոտ2) պայմանագրով սկզբնական նախատեսված 4,440,000.00 հազ. դրամ աշխատանքների փոխարեն, փոփոխությունների արդյունքում, կատարողականներով հաշվարկվել և վճարվել են 5,866,238.6 հազ. դրամի աշխատանքներ։ Փոփոխությունների արդյունքում ավելացվել են 2,825,694.47 հազ. դրամի աշխատանքներ և նվազեցվել են 1,399,455.80 հազ. դրամի աշխատանքներ։ Ավելացված և նվազեցված աշխատանքների համարժեքության ուսումնասիրությունից պարզվել է, որ ավելացված աշխատանքների նախահաշվային արժեքը ՀՀ կառավարության 23.06.2011թ.-ի թիվ 879-Ն որոշմամբ հաստատված «գործող գներով շինարարական աշխատանքների արժեքի հաշվարկման կարգի»-ին համապատասխան հաշվարկի դեպքում կազմում է 2,845,248.27 հազ. դրամ, իսկ նվազեցված  աշխատանքներինը 2,139,077.64 հազ. դրամ կամ լրացուցիչ կատարված աշխատանքների նախահաշվային արժեքը գերազանցում է չկատարված աշխատանքների նախահաշվային արժեքը ընդամենը 706,170.63 հազ. դրամով այնինչ պայմանագրային գինը ավելացվել է 1,426,238.6  հազ. դրամով։</w:t>
      </w:r>
    </w:p>
    <w:p w14:paraId="62ED14F8" w14:textId="77777777" w:rsidR="00D62559" w:rsidRPr="005C082A" w:rsidRDefault="00D62559" w:rsidP="00BC2B2B">
      <w:pPr>
        <w:ind w:firstLine="567"/>
        <w:rPr>
          <w:szCs w:val="24"/>
          <w:lang w:val="hy-AM"/>
        </w:rPr>
      </w:pPr>
      <w:r w:rsidRPr="005C082A">
        <w:rPr>
          <w:szCs w:val="24"/>
          <w:lang w:val="hy-AM"/>
        </w:rPr>
        <w:t xml:space="preserve">- N M6-ICB/CW-01-1 (Լոտ1) պայմանագրով սկզբնական նախատեսված 5,230,236.56 հազ. դրամ աշխատանքների փոխարեն, փոփոխությունների արդյունքում, կատարողականներով հաշվարկվել և վճարվել են 6,320,462.30 հազ. դրամ հազ. դրամի աշխատանքներ։ Փոփոխությունների արդյունքում ավելացվել են 1,819,458.89 հազ. դրամի աշխատանքներ և նվազեցվել են 729,233.19 հազ. դրամի աշխատանքներ։ Ավելացված և նվազեցված աշխատանքների համարժեքության ուսումնասիրությունից պարզվել է, որ ավելացված աշխատանքների նախահաշվային արժեքը ՀՀ կառավարության 23.06.2011թ.-ի թիվ 879-Ն որոշմամբ հաստատված «գործող գներով շինարարական աշխատանքների արժեքի հաշվարկման կարգի»-ին </w:t>
      </w:r>
      <w:r w:rsidRPr="005C082A">
        <w:rPr>
          <w:szCs w:val="24"/>
          <w:lang w:val="hy-AM"/>
        </w:rPr>
        <w:lastRenderedPageBreak/>
        <w:t>համապատասխան հաշվարկի դեպքում կազմում է 1,818,075.43 հազ. դրամ, իսկ նվազեցված  աշխատանքներինը 814,867.3 հազ. դրամ կամ լրացուցիչ կատարված աշխատանքների նախահաշվային արժեքը գերազանցում է չկատարված աշխատանքների նախահաշվային արժեքը 1,003,208.15 հազ. դրամով այնինչ պայմանագրային գինը ավելացվել է 1,090,225.70  հազ. դրամով։</w:t>
      </w:r>
    </w:p>
    <w:p w14:paraId="3C4A4DDA" w14:textId="12802D2C" w:rsidR="00D62559" w:rsidRDefault="00D62559" w:rsidP="00BC2B2B">
      <w:pPr>
        <w:ind w:firstLine="567"/>
        <w:rPr>
          <w:szCs w:val="24"/>
          <w:lang w:val="hy-AM"/>
        </w:rPr>
      </w:pPr>
      <w:r w:rsidRPr="005C082A">
        <w:rPr>
          <w:szCs w:val="24"/>
          <w:lang w:val="hy-AM"/>
        </w:rPr>
        <w:t xml:space="preserve">Այսպիսով ՀՀ կառավարության </w:t>
      </w:r>
      <w:r w:rsidRPr="005C082A">
        <w:rPr>
          <w:color w:val="000000"/>
          <w:szCs w:val="24"/>
          <w:shd w:val="clear" w:color="auto" w:fill="FFFFFF"/>
          <w:lang w:val="hy-AM"/>
        </w:rPr>
        <w:t>23</w:t>
      </w:r>
      <w:r w:rsidRPr="005C082A">
        <w:rPr>
          <w:rFonts w:ascii="Calibri" w:hAnsi="Calibri" w:cs="Calibri"/>
          <w:color w:val="000000"/>
          <w:szCs w:val="24"/>
          <w:shd w:val="clear" w:color="auto" w:fill="FFFFFF"/>
          <w:lang w:val="hy-AM"/>
        </w:rPr>
        <w:t> </w:t>
      </w:r>
      <w:r w:rsidRPr="005C082A">
        <w:rPr>
          <w:color w:val="000000"/>
          <w:szCs w:val="24"/>
          <w:shd w:val="clear" w:color="auto" w:fill="FFFFFF"/>
          <w:lang w:val="hy-AM"/>
        </w:rPr>
        <w:t>հունիսի 2011 թվականի N 879-Ն որոշմամբ հաստատված</w:t>
      </w:r>
      <w:r w:rsidR="00683DFD" w:rsidRPr="005C082A">
        <w:rPr>
          <w:color w:val="000000"/>
          <w:szCs w:val="24"/>
          <w:shd w:val="clear" w:color="auto" w:fill="FFFFFF"/>
          <w:lang w:val="hy-AM"/>
        </w:rPr>
        <w:t xml:space="preserve"> «</w:t>
      </w:r>
      <w:r w:rsidRPr="005C082A">
        <w:rPr>
          <w:color w:val="000000"/>
          <w:szCs w:val="24"/>
          <w:shd w:val="clear" w:color="auto" w:fill="FFFFFF"/>
          <w:lang w:val="hy-AM"/>
        </w:rPr>
        <w:t>Գործող գներով շինարարական աշխատանքների արժեքի հաշվարկման կարգի</w:t>
      </w:r>
      <w:r w:rsidR="00683DFD" w:rsidRPr="005C082A">
        <w:rPr>
          <w:color w:val="000000"/>
          <w:szCs w:val="24"/>
          <w:shd w:val="clear" w:color="auto" w:fill="FFFFFF"/>
          <w:lang w:val="hy-AM"/>
        </w:rPr>
        <w:t>»</w:t>
      </w:r>
      <w:r w:rsidRPr="005C082A">
        <w:rPr>
          <w:color w:val="000000"/>
          <w:szCs w:val="24"/>
          <w:shd w:val="clear" w:color="auto" w:fill="FFFFFF"/>
          <w:lang w:val="hy-AM"/>
        </w:rPr>
        <w:t xml:space="preserve">-ին համապատասխան հաշվարկով ստացվող </w:t>
      </w:r>
      <w:r w:rsidRPr="005C082A">
        <w:rPr>
          <w:szCs w:val="24"/>
          <w:lang w:val="hy-AM"/>
        </w:rPr>
        <w:t xml:space="preserve">5,852,633.67 հազ. դրամ նախահաշվային արժեքով աշխատանքների համար, փոփոխությունների արդյունքում սահմանվել է 6,320,462.30 հազ. դրամ պայմանագրային գին, որն ամբողջությամբ հաշվարկվել և վճարվել է վճարման սերտիֆիկատներով, կամ փաստացի կատարված աշխատանքների համար հաշվարկված և վճարված գումարը </w:t>
      </w:r>
      <w:r w:rsidRPr="005C082A">
        <w:rPr>
          <w:b/>
          <w:i/>
          <w:szCs w:val="24"/>
          <w:u w:val="single"/>
          <w:lang w:val="hy-AM"/>
        </w:rPr>
        <w:t xml:space="preserve">467,828.63 հազ. դրամով </w:t>
      </w:r>
      <w:r w:rsidRPr="005C082A">
        <w:rPr>
          <w:szCs w:val="24"/>
          <w:lang w:val="hy-AM"/>
        </w:rPr>
        <w:t>գերազանցում է այդ աշխատանքների՝ սահմանված կարգով հաշվարկի դեպքում ստացվող նախահաշվային արժեքը։</w:t>
      </w:r>
    </w:p>
    <w:p w14:paraId="5693A305" w14:textId="77777777" w:rsidR="001A7401" w:rsidRDefault="001A7401" w:rsidP="00FF16B1">
      <w:pPr>
        <w:spacing w:before="240" w:after="0"/>
        <w:ind w:firstLine="567"/>
        <w:rPr>
          <w:b/>
          <w:sz w:val="20"/>
          <w:szCs w:val="20"/>
          <w:lang w:val="hy-AM"/>
        </w:rPr>
      </w:pPr>
      <w:r>
        <w:rPr>
          <w:b/>
          <w:sz w:val="20"/>
          <w:szCs w:val="20"/>
          <w:lang w:val="hy-AM"/>
        </w:rPr>
        <w:t>Հաշվեքննության օբյեկտի առարկությունները և բացատրությունները։</w:t>
      </w:r>
    </w:p>
    <w:p w14:paraId="78E1CD35" w14:textId="77777777" w:rsidR="001A7401" w:rsidRPr="00765B98" w:rsidRDefault="001A7401">
      <w:pPr>
        <w:ind w:firstLine="567"/>
        <w:rPr>
          <w:sz w:val="20"/>
          <w:szCs w:val="20"/>
          <w:lang w:val="hy-AM"/>
        </w:rPr>
      </w:pPr>
      <w:r w:rsidRPr="00765B98">
        <w:rPr>
          <w:sz w:val="20"/>
          <w:szCs w:val="20"/>
          <w:lang w:val="hy-AM"/>
        </w:rPr>
        <w:t>Ծրագրի շրջանակներում բոլոր պայմանագրերով կատարված փոփոխությունները պայմանավորված են ճանապարհահատվածի տեխնիկական պարամետրերի բարելավման և երթևեկության անվտանգության մակարդակի բարձրացման անհրաժեշտությունից ելնելով, տեղանքի առանձնահատկություններով, ենթակառուցվածքների փաստացի վիճակի վերագնահատման հանգամանքով, շահառու համայնքների խնդրանքով և Ծրագրի նշանակությանը համահունչ՝ առավելագույն արդյունք ապահովելու նկատառումներով։</w:t>
      </w:r>
    </w:p>
    <w:p w14:paraId="098A54A8" w14:textId="77777777" w:rsidR="001A7401" w:rsidRPr="00765B98" w:rsidRDefault="001A7401">
      <w:pPr>
        <w:ind w:firstLine="567"/>
        <w:rPr>
          <w:sz w:val="20"/>
          <w:szCs w:val="20"/>
          <w:lang w:val="hy-AM"/>
        </w:rPr>
      </w:pPr>
      <w:r w:rsidRPr="00765B98">
        <w:rPr>
          <w:sz w:val="20"/>
          <w:szCs w:val="20"/>
          <w:lang w:val="hy-AM"/>
        </w:rPr>
        <w:t>Կատարված բոլոր փոփոխությունները հիմնավորված են հեղինակային հսկողության և տեխնիկական հսկողության մասնագիտական եզրակացություններով։</w:t>
      </w:r>
    </w:p>
    <w:p w14:paraId="1ADE61D0" w14:textId="77777777" w:rsidR="001A7401" w:rsidRDefault="001A7401" w:rsidP="00FF16B1">
      <w:pPr>
        <w:spacing w:before="240" w:after="0"/>
        <w:ind w:firstLine="567"/>
        <w:rPr>
          <w:b/>
          <w:sz w:val="20"/>
          <w:szCs w:val="20"/>
          <w:lang w:val="hy-AM"/>
        </w:rPr>
      </w:pPr>
      <w:r w:rsidRPr="00765B98">
        <w:rPr>
          <w:sz w:val="20"/>
          <w:szCs w:val="20"/>
          <w:lang w:val="hy-AM"/>
        </w:rPr>
        <w:t>Դիրքորոշում ներկայացնելու համար անհրաժեշտ է ներկայացնել արձանագրության մեջ նշված հաշվարկները։</w:t>
      </w:r>
    </w:p>
    <w:p w14:paraId="605B258D" w14:textId="77777777" w:rsidR="001A7401" w:rsidRDefault="001A7401" w:rsidP="00FF16B1">
      <w:pPr>
        <w:spacing w:before="240" w:after="0"/>
        <w:ind w:firstLine="567"/>
        <w:rPr>
          <w:b/>
          <w:sz w:val="20"/>
          <w:szCs w:val="20"/>
          <w:lang w:val="hy-AM"/>
        </w:rPr>
      </w:pPr>
      <w:r>
        <w:rPr>
          <w:b/>
          <w:sz w:val="20"/>
          <w:szCs w:val="20"/>
          <w:lang w:val="hy-AM"/>
        </w:rPr>
        <w:t>Հաշվեքննողի մեկնաբանությունը։</w:t>
      </w:r>
    </w:p>
    <w:p w14:paraId="23BC8CE2" w14:textId="77777777" w:rsidR="001A7401" w:rsidRPr="00754BFD" w:rsidRDefault="001A7401" w:rsidP="00FF16B1">
      <w:pPr>
        <w:spacing w:before="240" w:after="0"/>
        <w:ind w:firstLine="567"/>
        <w:rPr>
          <w:sz w:val="20"/>
          <w:szCs w:val="20"/>
          <w:lang w:val="hy-AM"/>
        </w:rPr>
      </w:pPr>
      <w:r w:rsidRPr="00754BFD">
        <w:rPr>
          <w:sz w:val="20"/>
          <w:szCs w:val="20"/>
          <w:lang w:val="hy-AM"/>
        </w:rPr>
        <w:t>Համաձայն Փորձագիտական եզրակացության սկզբնական նախագիծը տեխնիկական պարամետրերով, երթևեկության անվտանգության մակարդակով համապատասխանել է ՀՀ-ում գործող օրենսդրական և նորմատիվատեխնիկական պահանջներին և որևէ փոփոխությունում</w:t>
      </w:r>
      <w:r>
        <w:rPr>
          <w:sz w:val="20"/>
          <w:szCs w:val="20"/>
          <w:lang w:val="hy-AM"/>
        </w:rPr>
        <w:t xml:space="preserve">, որպես փոփոխության հիմք, </w:t>
      </w:r>
      <w:r w:rsidRPr="00754BFD">
        <w:rPr>
          <w:sz w:val="20"/>
          <w:szCs w:val="20"/>
          <w:lang w:val="hy-AM"/>
        </w:rPr>
        <w:t xml:space="preserve">չի նշվել դրանց անհամապատասխանության մասին։ Տեղանքի առանձնահատկության որևէ փոփոխություն նախագծումից մինչև շինարարաության մեկնարկը ընկած ժամանակահատվածում դժվար է պատկերացնել։ Ենթակառուցվածքների փաստացի վիճակի փոփոխության հիմքով որևէ փոփոխություն չի հիմնավորվել։ Առարկությունում Ծրագրով </w:t>
      </w:r>
      <w:r w:rsidRPr="00754BFD">
        <w:rPr>
          <w:sz w:val="20"/>
          <w:szCs w:val="20"/>
          <w:lang w:val="hy-AM"/>
        </w:rPr>
        <w:lastRenderedPageBreak/>
        <w:t xml:space="preserve">նախատեսված արդյունքը չի նշվել և դրա նկատմամբ առավելագույն արդյունքի ստացումը </w:t>
      </w:r>
      <w:r w:rsidRPr="00792B11">
        <w:rPr>
          <w:sz w:val="20"/>
          <w:szCs w:val="20"/>
          <w:lang w:val="hy-AM"/>
        </w:rPr>
        <w:t>որևէ փաստաթղթով</w:t>
      </w:r>
      <w:r w:rsidRPr="00754BFD">
        <w:rPr>
          <w:sz w:val="20"/>
          <w:szCs w:val="20"/>
          <w:lang w:val="hy-AM"/>
        </w:rPr>
        <w:t xml:space="preserve"> չի հիմնավորվել։</w:t>
      </w:r>
    </w:p>
    <w:p w14:paraId="09998348" w14:textId="3168FD5E" w:rsidR="00D62559" w:rsidRPr="005C082A" w:rsidRDefault="00A04F5D" w:rsidP="00BC2B2B">
      <w:pPr>
        <w:ind w:firstLine="567"/>
        <w:rPr>
          <w:rFonts w:eastAsia="Times New Roman" w:cs="Arial"/>
          <w:i/>
          <w:color w:val="000000"/>
          <w:szCs w:val="24"/>
          <w:lang w:val="hy-AM"/>
        </w:rPr>
      </w:pPr>
      <w:r w:rsidRPr="005C082A">
        <w:rPr>
          <w:b/>
          <w:szCs w:val="24"/>
          <w:lang w:val="hy-AM"/>
        </w:rPr>
        <w:t>7</w:t>
      </w:r>
      <w:r w:rsidR="00D62559" w:rsidRPr="005C082A">
        <w:rPr>
          <w:b/>
          <w:szCs w:val="24"/>
          <w:lang w:val="hy-AM"/>
        </w:rPr>
        <w:t>.3</w:t>
      </w:r>
      <w:r w:rsidR="00D62559" w:rsidRPr="005C082A">
        <w:rPr>
          <w:szCs w:val="24"/>
          <w:lang w:val="hy-AM"/>
        </w:rPr>
        <w:t xml:space="preserve"> N M6-ICB/CW-01-2 (Լոտ2) պայմանագրի շրջանակներում 2016թ-ի նոյեմբերի 16-ի N 184 գրությամբ Կապալառուն գրում է, որ </w:t>
      </w:r>
      <w:r w:rsidR="00D62559" w:rsidRPr="005C082A">
        <w:rPr>
          <w:rFonts w:eastAsia="Times New Roman" w:cs="Arial"/>
          <w:i/>
          <w:color w:val="000000"/>
          <w:szCs w:val="24"/>
          <w:lang w:val="hy-AM"/>
        </w:rPr>
        <w:t>«...ԿՄ18+000-ԿՄ18+600 հատվածն անցնում է Երևան-Թբիլիսի երկաթգծի օտարացման գոտով և գտնվում է խիստ կտրտված տեղանքում։ Երթաթգցին զուգահեռ տեղամասում նախատեսվում է հագնող պատ, որի հիմքի իրականացման համար անհրաժեշտ է կատարել պայթեցման աշխատանքներ, որի համար պետք է Հայկական երկաթուղիներ ընկերության հետ համաձայնեցում։ Այս տեղամասում նախատեսված բուտաբետոնային հենապատերը հիմնադրման խորության ֆշտման համար կատարված աշխատանքների ընթացքում պարզվել է, որ գոյություն ունեցող պատի հարակից տարածքում բնահողը իրենից ներկայացնում է լցվածքային գրունտ, որի հեռացման հետևանքով հենապատի հիմնադրամն խորությունը փոփոխվում է։</w:t>
      </w:r>
    </w:p>
    <w:p w14:paraId="614E27E3" w14:textId="77777777" w:rsidR="00D62559" w:rsidRPr="005C082A" w:rsidRDefault="00D62559" w:rsidP="00BC2B2B">
      <w:pPr>
        <w:ind w:firstLine="567"/>
        <w:rPr>
          <w:rFonts w:eastAsia="Times New Roman" w:cs="Arial"/>
          <w:i/>
          <w:color w:val="000000"/>
          <w:szCs w:val="24"/>
          <w:lang w:val="hy-AM"/>
        </w:rPr>
      </w:pPr>
      <w:r w:rsidRPr="005C082A">
        <w:rPr>
          <w:rFonts w:eastAsia="Times New Roman" w:cs="Arial"/>
          <w:i/>
          <w:color w:val="000000"/>
          <w:szCs w:val="24"/>
          <w:lang w:val="hy-AM"/>
        </w:rPr>
        <w:t>Առաջարկվում է այս տեղամասում կատարել լցվածքային գրունտի փոխարինում ժայռաբեկորային գրունտով և խիճավազային լցվածքով, ինչպես նաև առանձին տեղամասերում ցից կանգնակների տեղադրում, իսկ բուտաբետոնային պատը փոխարինել երկաթբետոնե հենապատով՝ ճանապարհի հողային պաստառի ամրությունը ապահովելու համար, ըստ կից ներկայացված նախագծի հիման վրա։ Խնդրվում է հնարավորինս կարճ ժամկետում տալ հարցի լուծում</w:t>
      </w:r>
      <w:r w:rsidRPr="005C082A">
        <w:rPr>
          <w:szCs w:val="24"/>
          <w:lang w:val="hy-AM"/>
        </w:rPr>
        <w:t>...</w:t>
      </w:r>
      <w:r w:rsidRPr="005C082A">
        <w:rPr>
          <w:rFonts w:eastAsia="Times New Roman" w:cs="Arial"/>
          <w:i/>
          <w:color w:val="000000"/>
          <w:szCs w:val="24"/>
          <w:lang w:val="hy-AM"/>
        </w:rPr>
        <w:t>»</w:t>
      </w:r>
    </w:p>
    <w:p w14:paraId="0E5D1B4A" w14:textId="77777777" w:rsidR="00D62559" w:rsidRPr="005C082A" w:rsidRDefault="00D62559" w:rsidP="00BC2B2B">
      <w:pPr>
        <w:ind w:firstLine="567"/>
        <w:rPr>
          <w:szCs w:val="24"/>
          <w:lang w:val="hy-AM"/>
        </w:rPr>
      </w:pPr>
      <w:r w:rsidRPr="005C082A">
        <w:rPr>
          <w:rFonts w:eastAsia="Times New Roman" w:cs="Arial"/>
          <w:color w:val="000000"/>
          <w:szCs w:val="24"/>
          <w:lang w:val="hy-AM"/>
        </w:rPr>
        <w:t xml:space="preserve">2016թ նոյեմբերի 25-ին </w:t>
      </w:r>
      <w:r w:rsidRPr="005C082A">
        <w:rPr>
          <w:szCs w:val="24"/>
          <w:lang w:val="hy-AM"/>
        </w:rPr>
        <w:t>N</w:t>
      </w:r>
      <w:r w:rsidRPr="005C082A">
        <w:rPr>
          <w:rFonts w:eastAsia="Times New Roman" w:cs="Arial"/>
          <w:color w:val="000000"/>
          <w:szCs w:val="24"/>
          <w:lang w:val="hy-AM"/>
        </w:rPr>
        <w:t xml:space="preserve"> 781 գրությամբ այս առաջարկներն ուղարկվել է Խորհրդատուին կատարված առաջարկությունների մասով մասնագիտական եզրակացություն տրամադրելու պահանջով, որին խորհրդատուն պատասխանել է 2016թ-ի դկտեմբերի 12-ի </w:t>
      </w:r>
      <w:r w:rsidRPr="005C082A">
        <w:rPr>
          <w:szCs w:val="24"/>
          <w:lang w:val="hy-AM"/>
        </w:rPr>
        <w:t>N 148 գրությամբ, որով տեղեկացնում է, որ կատարվել է ԿՄ18+000-ԿՄ18+600 հատվածի ուղեգծի վերանախագծում, որի արդյունքում ճանապարհը երկարել է 47 գծմ-ով։</w:t>
      </w:r>
    </w:p>
    <w:p w14:paraId="24ECA7F9" w14:textId="77777777" w:rsidR="00D62559" w:rsidRPr="005C082A" w:rsidRDefault="00D62559" w:rsidP="00BC2B2B">
      <w:pPr>
        <w:ind w:firstLine="567"/>
        <w:rPr>
          <w:szCs w:val="24"/>
          <w:lang w:val="hy-AM"/>
        </w:rPr>
      </w:pPr>
      <w:r w:rsidRPr="005C082A">
        <w:rPr>
          <w:szCs w:val="24"/>
          <w:lang w:val="hy-AM"/>
        </w:rPr>
        <w:t>Նշված փոփոխությունների հիման վրա 29.05.2017թ և 21.08.2017 կազմված Փոփոխություն 2-ով և 3-ով ավելացվել են հողային աշխատանքների ծավալները։</w:t>
      </w:r>
    </w:p>
    <w:p w14:paraId="25F4B6E1" w14:textId="7F11929C" w:rsidR="00D62559" w:rsidRDefault="00D62559" w:rsidP="00BC2B2B">
      <w:pPr>
        <w:ind w:firstLine="567"/>
        <w:rPr>
          <w:szCs w:val="24"/>
          <w:lang w:val="hy-AM"/>
        </w:rPr>
      </w:pPr>
      <w:r w:rsidRPr="005C082A">
        <w:rPr>
          <w:szCs w:val="24"/>
          <w:lang w:val="hy-AM"/>
        </w:rPr>
        <w:t>Այսպիսով չնայած նրան, որ որևէ առաջարկ ճանապարհի տվյալ հատվածի ուղեգծի վերանախագծման համար չէր եղել, Խորհրդատուն որպես առաջարկությունների վերաբերյալ մասնագիտական եզրակացության տրամադրում, իրականացրել է ուղեգծի վերանայում, ինչի արդյունքում ճանապարհը երկարել է 47գծմ-ով, ժայռային բնահողի հանույթի ծավալը ավելացել է 6376 խմ-ով (10340-</w:t>
      </w:r>
      <w:r w:rsidRPr="005C082A">
        <w:rPr>
          <w:szCs w:val="24"/>
          <w:lang w:val="hy-AM"/>
        </w:rPr>
        <w:lastRenderedPageBreak/>
        <w:t xml:space="preserve">3964), իսկ փափուկ բնահողի հանույթի ծավալը 8150 խմ-ով (20540-12390) ընդհանուր գումարով  </w:t>
      </w:r>
      <w:r w:rsidRPr="005C082A">
        <w:rPr>
          <w:b/>
          <w:i/>
          <w:szCs w:val="24"/>
          <w:u w:val="single"/>
          <w:lang w:val="hy-AM"/>
        </w:rPr>
        <w:t>132,141.94 հազ. դրամի</w:t>
      </w:r>
      <w:r w:rsidRPr="005C082A">
        <w:rPr>
          <w:szCs w:val="24"/>
          <w:lang w:val="hy-AM"/>
        </w:rPr>
        <w:t>։</w:t>
      </w:r>
    </w:p>
    <w:p w14:paraId="618C19A1" w14:textId="77777777" w:rsidR="00E71BE4" w:rsidRPr="00C82870" w:rsidRDefault="00E71BE4" w:rsidP="00FF16B1">
      <w:pPr>
        <w:spacing w:before="240" w:after="0"/>
        <w:ind w:firstLine="567"/>
        <w:rPr>
          <w:b/>
          <w:sz w:val="20"/>
          <w:szCs w:val="20"/>
          <w:lang w:val="hy-AM"/>
        </w:rPr>
      </w:pPr>
      <w:r w:rsidRPr="00C82870">
        <w:rPr>
          <w:b/>
          <w:sz w:val="20"/>
          <w:szCs w:val="20"/>
          <w:lang w:val="hy-AM"/>
        </w:rPr>
        <w:t>Հաշվեքննության օբյեկտի առարկությունները և բացատրությունները։</w:t>
      </w:r>
    </w:p>
    <w:p w14:paraId="56C02189" w14:textId="77777777" w:rsidR="00E71BE4" w:rsidRPr="00C82870" w:rsidRDefault="00E71BE4">
      <w:pPr>
        <w:ind w:firstLine="567"/>
        <w:rPr>
          <w:sz w:val="20"/>
          <w:szCs w:val="20"/>
          <w:lang w:val="hy-AM"/>
        </w:rPr>
      </w:pPr>
      <w:r w:rsidRPr="00C82870">
        <w:rPr>
          <w:sz w:val="20"/>
          <w:szCs w:val="20"/>
          <w:lang w:val="hy-AM"/>
        </w:rPr>
        <w:t>Նշված փոփոխությունները կատարվել են Կապալառուի բարձրացված խնդրին ամբողջական և համակողմանի լուծում տալու համար, ինչ արդյունքում՝ հեղ</w:t>
      </w:r>
      <w:r w:rsidRPr="00C82870">
        <w:rPr>
          <w:rFonts w:ascii="Cambria Math" w:hAnsi="Cambria Math" w:cs="Cambria Math"/>
          <w:sz w:val="20"/>
          <w:szCs w:val="20"/>
          <w:lang w:val="hy-AM"/>
        </w:rPr>
        <w:t>․</w:t>
      </w:r>
      <w:r w:rsidRPr="00C82870">
        <w:rPr>
          <w:sz w:val="20"/>
          <w:szCs w:val="20"/>
          <w:lang w:val="hy-AM"/>
        </w:rPr>
        <w:t xml:space="preserve"> հսկողության և տեխ</w:t>
      </w:r>
      <w:r w:rsidRPr="00C82870">
        <w:rPr>
          <w:rFonts w:ascii="Cambria Math" w:hAnsi="Cambria Math" w:cs="Cambria Math"/>
          <w:sz w:val="20"/>
          <w:szCs w:val="20"/>
          <w:lang w:val="hy-AM"/>
        </w:rPr>
        <w:t>․</w:t>
      </w:r>
      <w:r w:rsidRPr="00C82870">
        <w:rPr>
          <w:sz w:val="20"/>
          <w:szCs w:val="20"/>
          <w:lang w:val="hy-AM"/>
        </w:rPr>
        <w:t xml:space="preserve"> հսկողության կողմից տրված մասնագիտական եզրակացությունների համաձայն, սերպանտինի տեղամասում բարելավվել է երթևեկության անվտանգությանը, մեղմվել է ճանապարհի երկայնական առավելագույն թեքությունը (80‰-ի փոխարեն 54‰)։ Այս փաստերն արձանագրված են նաև ՀՊ-ի կողմից վկայակոչված խորհրդատուի գրությունում։</w:t>
      </w:r>
    </w:p>
    <w:p w14:paraId="23D35BC3" w14:textId="77777777" w:rsidR="00E71BE4" w:rsidRPr="00C82870" w:rsidRDefault="00E71BE4">
      <w:pPr>
        <w:ind w:firstLine="567"/>
        <w:rPr>
          <w:sz w:val="20"/>
          <w:szCs w:val="20"/>
          <w:lang w:val="hy-AM"/>
        </w:rPr>
      </w:pPr>
      <w:r w:rsidRPr="00C82870">
        <w:rPr>
          <w:sz w:val="20"/>
          <w:szCs w:val="20"/>
          <w:lang w:val="hy-AM"/>
        </w:rPr>
        <w:t>Անհրաժեշտ է նշել, որ կապալառու կազմակերպությունները պարտավոր չեն բարձրացված խնդիրների հետ մեկտեղ ներկայացնել այդ խնդիրների լուծման մանրամասն եղանակները։ Ծրագրի շրջանակներում այդ գործառույթը հանդիսանում է հեղ</w:t>
      </w:r>
      <w:r w:rsidRPr="00C82870">
        <w:rPr>
          <w:rFonts w:ascii="Cambria Math" w:hAnsi="Cambria Math" w:cs="Cambria Math"/>
          <w:sz w:val="20"/>
          <w:szCs w:val="20"/>
          <w:lang w:val="hy-AM"/>
        </w:rPr>
        <w:t>․</w:t>
      </w:r>
      <w:r w:rsidRPr="00C82870">
        <w:rPr>
          <w:sz w:val="20"/>
          <w:szCs w:val="20"/>
          <w:lang w:val="hy-AM"/>
        </w:rPr>
        <w:t xml:space="preserve"> հսկողության պարտավորությունը, տվյալ դեպքում՝ մասնագիտական եզրակացության հետ մեկտեղ ներկայացնելով վերանայված նախագծանախահաշվային փաստաթղթեր։</w:t>
      </w:r>
    </w:p>
    <w:p w14:paraId="7E741D41" w14:textId="77777777" w:rsidR="00E71BE4" w:rsidRPr="00C82870" w:rsidRDefault="00E71BE4" w:rsidP="00FF16B1">
      <w:pPr>
        <w:spacing w:before="240" w:after="0"/>
        <w:ind w:firstLine="567"/>
        <w:rPr>
          <w:b/>
          <w:sz w:val="20"/>
          <w:szCs w:val="20"/>
          <w:lang w:val="hy-AM"/>
        </w:rPr>
      </w:pPr>
      <w:r w:rsidRPr="00C82870">
        <w:rPr>
          <w:sz w:val="20"/>
          <w:szCs w:val="20"/>
          <w:lang w:val="hy-AM"/>
        </w:rPr>
        <w:t>Փոփոխությունները կատարելու համար հիմք են հանդիսացել հեղ</w:t>
      </w:r>
      <w:r w:rsidRPr="00C82870">
        <w:rPr>
          <w:rFonts w:ascii="Cambria Math" w:hAnsi="Cambria Math" w:cs="Cambria Math"/>
          <w:sz w:val="20"/>
          <w:szCs w:val="20"/>
          <w:lang w:val="hy-AM"/>
        </w:rPr>
        <w:t>․</w:t>
      </w:r>
      <w:r w:rsidRPr="00C82870">
        <w:rPr>
          <w:sz w:val="20"/>
          <w:szCs w:val="20"/>
          <w:lang w:val="hy-AM"/>
        </w:rPr>
        <w:t xml:space="preserve"> հսկողության նշված գրությամբ ներկայացված եզրակացությունը, ինչպես նաև տեխ</w:t>
      </w:r>
      <w:r w:rsidRPr="00C82870">
        <w:rPr>
          <w:rFonts w:ascii="Cambria Math" w:hAnsi="Cambria Math" w:cs="Cambria Math"/>
          <w:sz w:val="20"/>
          <w:szCs w:val="20"/>
          <w:lang w:val="hy-AM"/>
        </w:rPr>
        <w:t>․</w:t>
      </w:r>
      <w:r w:rsidRPr="00C82870">
        <w:rPr>
          <w:sz w:val="20"/>
          <w:szCs w:val="20"/>
          <w:lang w:val="hy-AM"/>
        </w:rPr>
        <w:t>հսկողության 17</w:t>
      </w:r>
      <w:r w:rsidRPr="00C82870">
        <w:rPr>
          <w:rFonts w:ascii="Cambria Math" w:hAnsi="Cambria Math" w:cs="Cambria Math"/>
          <w:sz w:val="20"/>
          <w:szCs w:val="20"/>
          <w:lang w:val="hy-AM"/>
        </w:rPr>
        <w:t>․</w:t>
      </w:r>
      <w:r w:rsidRPr="00C82870">
        <w:rPr>
          <w:sz w:val="20"/>
          <w:szCs w:val="20"/>
          <w:lang w:val="hy-AM"/>
        </w:rPr>
        <w:t>07</w:t>
      </w:r>
      <w:r w:rsidRPr="00C82870">
        <w:rPr>
          <w:rFonts w:ascii="Cambria Math" w:hAnsi="Cambria Math" w:cs="Cambria Math"/>
          <w:sz w:val="20"/>
          <w:szCs w:val="20"/>
          <w:lang w:val="hy-AM"/>
        </w:rPr>
        <w:t>․</w:t>
      </w:r>
      <w:r w:rsidRPr="00C82870">
        <w:rPr>
          <w:sz w:val="20"/>
          <w:szCs w:val="20"/>
          <w:lang w:val="hy-AM"/>
        </w:rPr>
        <w:t>2017թ</w:t>
      </w:r>
      <w:r w:rsidRPr="00C82870">
        <w:rPr>
          <w:rFonts w:ascii="Cambria Math" w:hAnsi="Cambria Math" w:cs="Cambria Math"/>
          <w:sz w:val="20"/>
          <w:szCs w:val="20"/>
          <w:lang w:val="hy-AM"/>
        </w:rPr>
        <w:t>․</w:t>
      </w:r>
      <w:r w:rsidRPr="00C82870">
        <w:rPr>
          <w:sz w:val="20"/>
          <w:szCs w:val="20"/>
          <w:lang w:val="hy-AM"/>
        </w:rPr>
        <w:t xml:space="preserve"> թիվ GP-M6/048 և 28</w:t>
      </w:r>
      <w:r w:rsidRPr="00C82870">
        <w:rPr>
          <w:rFonts w:ascii="Cambria Math" w:hAnsi="Cambria Math" w:cs="Cambria Math"/>
          <w:sz w:val="20"/>
          <w:szCs w:val="20"/>
          <w:lang w:val="hy-AM"/>
        </w:rPr>
        <w:t>․</w:t>
      </w:r>
      <w:r w:rsidRPr="00C82870">
        <w:rPr>
          <w:sz w:val="20"/>
          <w:szCs w:val="20"/>
          <w:lang w:val="hy-AM"/>
        </w:rPr>
        <w:t>07</w:t>
      </w:r>
      <w:r w:rsidRPr="00C82870">
        <w:rPr>
          <w:rFonts w:ascii="Cambria Math" w:hAnsi="Cambria Math" w:cs="Cambria Math"/>
          <w:sz w:val="20"/>
          <w:szCs w:val="20"/>
          <w:lang w:val="hy-AM"/>
        </w:rPr>
        <w:t>․</w:t>
      </w:r>
      <w:r w:rsidRPr="00C82870">
        <w:rPr>
          <w:sz w:val="20"/>
          <w:szCs w:val="20"/>
          <w:lang w:val="hy-AM"/>
        </w:rPr>
        <w:t>2017թ</w:t>
      </w:r>
      <w:r w:rsidRPr="00C82870">
        <w:rPr>
          <w:rFonts w:ascii="Cambria Math" w:hAnsi="Cambria Math" w:cs="Cambria Math"/>
          <w:sz w:val="20"/>
          <w:szCs w:val="20"/>
          <w:lang w:val="hy-AM"/>
        </w:rPr>
        <w:t>․</w:t>
      </w:r>
      <w:r w:rsidRPr="00C82870">
        <w:rPr>
          <w:sz w:val="20"/>
          <w:szCs w:val="20"/>
          <w:lang w:val="hy-AM"/>
        </w:rPr>
        <w:t xml:space="preserve"> թիվ GP-M6/050։</w:t>
      </w:r>
    </w:p>
    <w:p w14:paraId="47934983" w14:textId="77777777" w:rsidR="00E71BE4" w:rsidRPr="00C82870" w:rsidRDefault="00E71BE4" w:rsidP="00FF16B1">
      <w:pPr>
        <w:spacing w:before="240" w:after="0"/>
        <w:ind w:firstLine="567"/>
        <w:rPr>
          <w:b/>
          <w:sz w:val="20"/>
          <w:szCs w:val="20"/>
          <w:lang w:val="hy-AM"/>
        </w:rPr>
      </w:pPr>
      <w:r w:rsidRPr="00C82870">
        <w:rPr>
          <w:b/>
          <w:sz w:val="20"/>
          <w:szCs w:val="20"/>
          <w:lang w:val="hy-AM"/>
        </w:rPr>
        <w:t>Հաշվեքննողի մեկնաբանությունը։</w:t>
      </w:r>
    </w:p>
    <w:p w14:paraId="78780D04" w14:textId="77777777" w:rsidR="00E71BE4" w:rsidRPr="00C82870" w:rsidRDefault="00E71BE4">
      <w:pPr>
        <w:spacing w:before="240" w:after="0"/>
        <w:ind w:firstLine="567"/>
        <w:rPr>
          <w:sz w:val="20"/>
          <w:szCs w:val="20"/>
          <w:lang w:val="hy-AM"/>
        </w:rPr>
      </w:pPr>
      <w:r w:rsidRPr="00C82870">
        <w:rPr>
          <w:sz w:val="20"/>
          <w:szCs w:val="20"/>
          <w:lang w:val="hy-AM"/>
        </w:rPr>
        <w:t xml:space="preserve">Բերված առարկությունը առնչություն չունի արձանագրված «այլ փաստի» հետ։ Արձանագրությունում նշված չէ, որ կապալառուն բարձրացրած խնդրի հետ մեկտեղ չի ներկայացրել այդ խնդրի լուծման մանրամասն եղանակները։ «Այլ փաստում» արձանագրվել է, որ Կապալառուն նման խնդիր ընդհանրապես չի բարձրացրել։ Նրա կողմից </w:t>
      </w:r>
      <w:r w:rsidRPr="00C82870">
        <w:rPr>
          <w:rFonts w:eastAsia="Times New Roman" w:cs="Arial"/>
          <w:color w:val="000000"/>
          <w:sz w:val="20"/>
          <w:szCs w:val="20"/>
          <w:lang w:val="hy-AM"/>
        </w:rPr>
        <w:t>առաջարկվել է բուտաբետոնային պատը փոխարինել երկաթբետոնե հենապատով, հենապատի կառուցման աշխատանքներում կատարել հիմնատակի գրունտի փոխարինում և առանձին տեղամասերում ցից կանգնակներ տեղադել, այնինչ Խորհրդատուն ի պատասխան նշված առաջարկի իրականացրել է 600գծմ երկարությամբ հատվածում (</w:t>
      </w:r>
      <w:r w:rsidRPr="00C82870">
        <w:rPr>
          <w:sz w:val="20"/>
          <w:szCs w:val="20"/>
          <w:lang w:val="hy-AM"/>
        </w:rPr>
        <w:t>ԿՄ18+000-ԿՄ18+600) ուղեգծի վերանախագծում։</w:t>
      </w:r>
    </w:p>
    <w:p w14:paraId="38188ACA" w14:textId="017478CC" w:rsidR="00D62559" w:rsidRPr="005C082A" w:rsidRDefault="00D62559" w:rsidP="00DB1512">
      <w:pPr>
        <w:ind w:firstLine="0"/>
        <w:jc w:val="center"/>
        <w:rPr>
          <w:szCs w:val="24"/>
          <w:lang w:val="hy-AM"/>
        </w:rPr>
      </w:pPr>
      <w:r w:rsidRPr="005C082A">
        <w:rPr>
          <w:b/>
          <w:szCs w:val="24"/>
          <w:lang w:val="hy-AM"/>
        </w:rPr>
        <w:t>Համաշխարհային բանկի աջակցությամբ իրականացվող Կենսական նշանակության ճանապարհացանցի բարելավման լրացուցիչ ծրագիր</w:t>
      </w:r>
    </w:p>
    <w:p w14:paraId="209131F0" w14:textId="7FDA2B85" w:rsidR="00D62559" w:rsidRDefault="00A04F5D" w:rsidP="00BC2B2B">
      <w:pPr>
        <w:ind w:firstLine="567"/>
        <w:rPr>
          <w:szCs w:val="24"/>
          <w:lang w:val="hy-AM"/>
        </w:rPr>
      </w:pPr>
      <w:r w:rsidRPr="005C082A">
        <w:rPr>
          <w:b/>
          <w:szCs w:val="24"/>
          <w:lang w:val="hy-AM"/>
        </w:rPr>
        <w:t>7</w:t>
      </w:r>
      <w:r w:rsidR="00D62559" w:rsidRPr="005C082A">
        <w:rPr>
          <w:b/>
          <w:szCs w:val="24"/>
          <w:lang w:val="hy-AM"/>
        </w:rPr>
        <w:t>.</w:t>
      </w:r>
      <w:r w:rsidR="00AE7C09" w:rsidRPr="005C082A">
        <w:rPr>
          <w:b/>
          <w:szCs w:val="24"/>
          <w:lang w:val="hy-AM"/>
        </w:rPr>
        <w:t>4</w:t>
      </w:r>
      <w:r w:rsidR="00D62559" w:rsidRPr="005C082A">
        <w:rPr>
          <w:szCs w:val="24"/>
          <w:lang w:val="hy-AM"/>
        </w:rPr>
        <w:t xml:space="preserve"> CW-NCB-LRNIP-AF-2017/1-լոտ 2, CW_NCB-LRNIP AF-2019/ 7, CW_NCB-LRNIP AF-2019/ 12, CW-NCB-LRNIP-AF-2017/1-լոտ1, CW-NCB-LRNIP-AF-2017/9 և CW_NCB-LRNIP AF-2019/ 11 պայմանագրերի պայմանագրային գները գերազանցել են այդ օբյեկտների նախահաշվային արժեքները համապատասխանաբար 47,508.00 հազ. դրամով (15%), 39,636.00 հազ. դրամով (6%), 31,730.00 հազ. </w:t>
      </w:r>
      <w:r w:rsidR="00D62559" w:rsidRPr="005C082A">
        <w:rPr>
          <w:szCs w:val="24"/>
          <w:lang w:val="hy-AM"/>
        </w:rPr>
        <w:lastRenderedPageBreak/>
        <w:t>դրամով (14%), 47,240.00 հազ դրամով (15%), 42,667.00 հազ. դրամով (7%) և 31,179.00 հազ. դրամով (11%)։</w:t>
      </w:r>
    </w:p>
    <w:p w14:paraId="4B46FC77" w14:textId="77777777" w:rsidR="00700EF5" w:rsidRDefault="00700EF5" w:rsidP="00FF16B1">
      <w:pPr>
        <w:spacing w:before="240" w:after="0"/>
        <w:ind w:firstLine="567"/>
        <w:rPr>
          <w:b/>
          <w:sz w:val="20"/>
          <w:szCs w:val="20"/>
          <w:lang w:val="hy-AM"/>
        </w:rPr>
      </w:pPr>
      <w:r>
        <w:rPr>
          <w:b/>
          <w:sz w:val="20"/>
          <w:szCs w:val="20"/>
          <w:lang w:val="hy-AM"/>
        </w:rPr>
        <w:t>Հաշվեքննության օբյեկտի առարկությունները և բացատրությունները։</w:t>
      </w:r>
    </w:p>
    <w:p w14:paraId="7D50501D" w14:textId="77777777" w:rsidR="00700EF5" w:rsidRDefault="00700EF5">
      <w:pPr>
        <w:spacing w:before="240" w:after="0"/>
        <w:ind w:firstLine="567"/>
        <w:rPr>
          <w:b/>
          <w:sz w:val="20"/>
          <w:szCs w:val="20"/>
          <w:lang w:val="hy-AM"/>
        </w:rPr>
      </w:pPr>
      <w:r w:rsidRPr="00626DDB">
        <w:rPr>
          <w:color w:val="000000" w:themeColor="text1"/>
          <w:sz w:val="20"/>
          <w:szCs w:val="20"/>
          <w:lang w:val="hy-AM"/>
        </w:rPr>
        <w:t>Նշված ծածկագրերով մրցույթները իրականացվել են և պայմանագրերը կնքվել են Համաշխարհային Բանկի ծրագրի ֆինանսավորմամբ իրականացվող ծրագրի շրջանակներում: Համաձայն Համաշխարհային Բանկի գնումների ուղեցույցների՝ շինարարական աշխատանքների ձեռքբերման մրցույթների գնային առաջարկը ֆիքսված է, այս մրցույթները չունեն պայմանագրային բանակցությունների փուլ, որը հնարավորություն կտար մինչ պայմանագրի կնքումը բանակցել գնի շուրջ: Ավելին համաձայն Բանկի գնումների ուղեցույցների նույնիսկ այն դեպքում երբ Բանկի հատուկ թույլտվությամբ Պատվիրատուն հնարավորություն ստանա մինչ պայմանագրի կնքումը բանակցույթուններ վարել, թույլատրվում է բանակցել միայն կատարվելիք աշխատանքների շրջանակի նվազեցման միջոցով կնքվելիք պայմանագրի արժեքի նվազեցման վերաբերյայ, սակայն չի թույլատրվում վերանայել մասնակցի կողմից առաջադրված գնային առաջարկը և նվազեցնել մասնակցի կողմից ներկայացված հայտում ներառված ծավալաթերթում նշված որևէ աշխատանքի արժեքը:</w:t>
      </w:r>
    </w:p>
    <w:p w14:paraId="0D1E52DD" w14:textId="77777777" w:rsidR="00700EF5" w:rsidRDefault="00700EF5">
      <w:pPr>
        <w:spacing w:before="240" w:after="0"/>
        <w:ind w:firstLine="567"/>
        <w:rPr>
          <w:b/>
          <w:sz w:val="20"/>
          <w:szCs w:val="20"/>
          <w:lang w:val="hy-AM"/>
        </w:rPr>
      </w:pPr>
      <w:r>
        <w:rPr>
          <w:b/>
          <w:sz w:val="20"/>
          <w:szCs w:val="20"/>
          <w:lang w:val="hy-AM"/>
        </w:rPr>
        <w:t>Հաշվեքննողի մեկնաբանությունը։</w:t>
      </w:r>
    </w:p>
    <w:p w14:paraId="5F5D922B" w14:textId="77777777" w:rsidR="00700EF5" w:rsidRPr="00236639" w:rsidRDefault="00700EF5">
      <w:pPr>
        <w:spacing w:before="240" w:after="0"/>
        <w:ind w:firstLine="567"/>
        <w:rPr>
          <w:sz w:val="20"/>
          <w:szCs w:val="20"/>
          <w:lang w:val="hy-AM"/>
        </w:rPr>
      </w:pPr>
      <w:r w:rsidRPr="00236639">
        <w:rPr>
          <w:sz w:val="20"/>
          <w:szCs w:val="20"/>
          <w:lang w:val="hy-AM"/>
        </w:rPr>
        <w:t>Ընդունել ենք ի գիտություն։</w:t>
      </w:r>
    </w:p>
    <w:p w14:paraId="7D3593C2" w14:textId="03686233" w:rsidR="00D62559" w:rsidRPr="005C082A" w:rsidRDefault="00A04F5D" w:rsidP="00BC2B2B">
      <w:pPr>
        <w:ind w:firstLine="567"/>
        <w:rPr>
          <w:szCs w:val="24"/>
          <w:lang w:val="hy-AM"/>
        </w:rPr>
      </w:pPr>
      <w:r w:rsidRPr="005C082A">
        <w:rPr>
          <w:b/>
          <w:szCs w:val="24"/>
          <w:lang w:val="hy-AM"/>
        </w:rPr>
        <w:t>7</w:t>
      </w:r>
      <w:r w:rsidR="00AE7C09" w:rsidRPr="005C082A">
        <w:rPr>
          <w:b/>
          <w:szCs w:val="24"/>
          <w:lang w:val="hy-AM"/>
        </w:rPr>
        <w:t>.5</w:t>
      </w:r>
      <w:r w:rsidR="00D62559" w:rsidRPr="005C082A">
        <w:rPr>
          <w:szCs w:val="24"/>
          <w:lang w:val="hy-AM"/>
        </w:rPr>
        <w:t xml:space="preserve"> CW-NCB-LRNIP-AF-2016/8 պայմանագրի շրջանակում առկա են անհամապատասխանություններ կատարողական ակտերով հաշվարկված աշխատանքների ծավալների և տեղադրման (թաքնված աշխատանքների) ակտերում ցույց տրված աշխատանքների ծավալների միջև։ Մասնավորապես </w:t>
      </w:r>
    </w:p>
    <w:p w14:paraId="0B7275F0" w14:textId="77777777" w:rsidR="00D62559" w:rsidRPr="005C082A" w:rsidRDefault="00D62559" w:rsidP="00BC2B2B">
      <w:pPr>
        <w:ind w:firstLine="567"/>
        <w:rPr>
          <w:szCs w:val="24"/>
          <w:lang w:val="hy-AM"/>
        </w:rPr>
      </w:pPr>
      <w:r w:rsidRPr="005C082A">
        <w:rPr>
          <w:szCs w:val="24"/>
          <w:lang w:val="hy-AM"/>
        </w:rPr>
        <w:t>- Փռվող շերտի տեղադրում /ավազակոպիճ h=10սմ/ ավարտական ակտով ցույց է տրվել 26543,15 քմ՝ ներկայացված թաքնված աշխատանքների ակտերով 20909,83 քմ։</w:t>
      </w:r>
    </w:p>
    <w:p w14:paraId="4123206D" w14:textId="77777777" w:rsidR="00D62559" w:rsidRPr="005C082A" w:rsidRDefault="00D62559" w:rsidP="00BC2B2B">
      <w:pPr>
        <w:ind w:firstLine="567"/>
        <w:rPr>
          <w:szCs w:val="24"/>
          <w:lang w:val="hy-AM"/>
        </w:rPr>
      </w:pPr>
      <w:r w:rsidRPr="005C082A">
        <w:rPr>
          <w:szCs w:val="24"/>
          <w:lang w:val="hy-AM"/>
        </w:rPr>
        <w:t>-Փռվող շերտի տեղադրում /ավազակոպիճ h=12սմ մայթ/ ավարտական ակտով ցույց է տրվել 8943,15 քմ՝ ներկայացված թաքնված աշխատանքների ակտերով 8682,09 քմ։</w:t>
      </w:r>
    </w:p>
    <w:p w14:paraId="7B9FBDD3" w14:textId="77777777" w:rsidR="00D62559" w:rsidRPr="005C082A" w:rsidRDefault="00D62559" w:rsidP="00BC2B2B">
      <w:pPr>
        <w:ind w:firstLine="567"/>
        <w:rPr>
          <w:szCs w:val="24"/>
          <w:lang w:val="hy-AM"/>
        </w:rPr>
      </w:pPr>
      <w:r w:rsidRPr="005C082A">
        <w:rPr>
          <w:szCs w:val="24"/>
          <w:lang w:val="hy-AM"/>
        </w:rPr>
        <w:t>-Խճային հիմքի շերտ /խիճ/  h=16սմ C-5 ավարտական ակտով ցույց է տրվել 44574.93 քմ՝ ներկայացված թաքնված աշխատանքների ակտերով 31644.5 քմ։</w:t>
      </w:r>
    </w:p>
    <w:p w14:paraId="3A424BC0" w14:textId="77777777" w:rsidR="00D62559" w:rsidRPr="005C082A" w:rsidRDefault="00D62559" w:rsidP="00BC2B2B">
      <w:pPr>
        <w:ind w:firstLine="567"/>
        <w:rPr>
          <w:szCs w:val="24"/>
          <w:lang w:val="hy-AM"/>
        </w:rPr>
      </w:pPr>
      <w:r w:rsidRPr="005C082A">
        <w:rPr>
          <w:szCs w:val="24"/>
          <w:lang w:val="hy-AM"/>
        </w:rPr>
        <w:t>- Խճային հիմքի շերտ /խիճ/  h=12սմ C-5 ավարտական ակտով ցույց է տրվել 12107.74 քմ՝ ներկայացված թաքնված աշխատանքների ակտերով 12497.4 քմ։ Ընդ որում միևնույն հատվածների համար նույն մակերեսներով կազմվել են տարբեր ամսաթվերով թաքնված աշխատանքների ակտեր։</w:t>
      </w:r>
    </w:p>
    <w:p w14:paraId="1C60E795" w14:textId="77777777" w:rsidR="00D62559" w:rsidRPr="005C082A" w:rsidRDefault="00D62559" w:rsidP="00BC2B2B">
      <w:pPr>
        <w:ind w:firstLine="567"/>
        <w:rPr>
          <w:szCs w:val="24"/>
          <w:lang w:val="hy-AM"/>
        </w:rPr>
      </w:pPr>
      <w:r w:rsidRPr="005C082A">
        <w:rPr>
          <w:szCs w:val="24"/>
          <w:lang w:val="hy-AM"/>
        </w:rPr>
        <w:lastRenderedPageBreak/>
        <w:t>- Խճավազային խառնուրդ h=5սմ մշակված բիտումով 3% ըստ քաշի ավարտական ակտով ցույց է տրվել 39588,85 քմ՝ ներկայացված թաքնված աշխատանքների ակտերով 32167,53 քմ։ Տեխնիկական հսկողություն իրականացնողի կողմից ներկայացվել են խճավազային խառնուրդ h=5սմ մշակված բիտումով 3% ըստ քաշի տեղադրման սխեմաներ 36109 քմ։</w:t>
      </w:r>
    </w:p>
    <w:p w14:paraId="4CA10902" w14:textId="77777777" w:rsidR="00D62559" w:rsidRPr="005C082A" w:rsidRDefault="00D62559" w:rsidP="00BC2B2B">
      <w:pPr>
        <w:ind w:firstLine="567"/>
        <w:rPr>
          <w:szCs w:val="24"/>
          <w:lang w:val="hy-AM"/>
        </w:rPr>
      </w:pPr>
      <w:r w:rsidRPr="005C082A">
        <w:rPr>
          <w:szCs w:val="24"/>
          <w:lang w:val="hy-AM"/>
        </w:rPr>
        <w:t>- Հարթեցնող շերտ hմիջին=3սմ ավարտական ակտով ցույց է տրվել 1826,39տն՝ ներկայացված թաքնված աշխատանքների ակտերով 27842,83 քմ՝ բիտումի ծախսը 1431,36տն։ Տեխնիկական հսկողություն իրականացնողի կողմից ներկայացվել են հարթեցնող շերտի hմիջին=3սմ տեղադրման սխեմաներ 29081 քմ 1731տն բիտումի ծախսով։ Ընդ որում, միևնույն հատվածների համար նույն մակերեսներով կազմվել են տարբեր ամսաթվերով թաքնված աշխատանքների ակտեր։</w:t>
      </w:r>
    </w:p>
    <w:p w14:paraId="58E36F50" w14:textId="77777777" w:rsidR="00D62559" w:rsidRPr="005C082A" w:rsidRDefault="00D62559" w:rsidP="00BC2B2B">
      <w:pPr>
        <w:ind w:firstLine="567"/>
        <w:rPr>
          <w:szCs w:val="24"/>
          <w:lang w:val="hy-AM"/>
        </w:rPr>
      </w:pPr>
      <w:r w:rsidRPr="005C082A">
        <w:rPr>
          <w:szCs w:val="24"/>
          <w:lang w:val="hy-AM"/>
        </w:rPr>
        <w:t>- Տաք ասֆալտբետոնի պատվածք h=4սմ ավարտական ակտով ցույց է տրվել 110762,11 քմ՝ ներկայացված ա/բ ծածկի տեղադրման սխեմայով՝ 109747,0 քմ։ Ընդ որում միևնույն հատվածների համար նույն մակերեսներով կազմվել են տարբեր ամսաթվերով թաքնված աշխատանքների ակտեր։</w:t>
      </w:r>
    </w:p>
    <w:p w14:paraId="4D3DC69C" w14:textId="2559C0C3" w:rsidR="00700EF5" w:rsidRPr="00C82870" w:rsidRDefault="00700EF5">
      <w:pPr>
        <w:spacing w:before="240" w:after="0"/>
        <w:ind w:firstLine="567"/>
        <w:rPr>
          <w:b/>
          <w:sz w:val="20"/>
          <w:szCs w:val="20"/>
          <w:lang w:val="hy-AM"/>
        </w:rPr>
      </w:pPr>
      <w:r w:rsidRPr="00C82870">
        <w:rPr>
          <w:b/>
          <w:sz w:val="20"/>
          <w:szCs w:val="20"/>
          <w:lang w:val="hy-AM"/>
        </w:rPr>
        <w:t>Հաշվեքննության օբյեկտի առարկությունները և բացատրությունները։</w:t>
      </w:r>
    </w:p>
    <w:p w14:paraId="55F9254A" w14:textId="77777777" w:rsidR="00700EF5" w:rsidRPr="00C82870" w:rsidRDefault="00700EF5">
      <w:pPr>
        <w:ind w:firstLine="567"/>
        <w:rPr>
          <w:sz w:val="20"/>
          <w:szCs w:val="20"/>
          <w:lang w:val="hy-AM"/>
        </w:rPr>
      </w:pPr>
      <w:r w:rsidRPr="00C82870">
        <w:rPr>
          <w:sz w:val="20"/>
          <w:szCs w:val="20"/>
          <w:lang w:val="hy-AM"/>
        </w:rPr>
        <w:t>Թաքնված/միջանկյալ աշխատանքների ակտերում տեղ գտած անճշտությունները հնարավոր է, որ անուշադրության կամ վրիպումների հետևանք են, որոնք կարող էին առաջանալ աշխատանքային գործընթացում։ Նշված փաստաթղթերի անհամապատասխանությունները, բացակայությունը կամ առկայութունը ստուգելու, և համապատասխան դիքորոշում/պարզաբանում հայտնելու համար անհրաժեշտ է լրացուցիչ ժամանակ։</w:t>
      </w:r>
    </w:p>
    <w:p w14:paraId="521860D2" w14:textId="77777777" w:rsidR="00700EF5" w:rsidRPr="00C82870" w:rsidRDefault="00700EF5">
      <w:pPr>
        <w:spacing w:before="240" w:after="0"/>
        <w:ind w:firstLine="567"/>
        <w:rPr>
          <w:b/>
          <w:sz w:val="20"/>
          <w:szCs w:val="20"/>
          <w:lang w:val="hy-AM"/>
        </w:rPr>
      </w:pPr>
      <w:r w:rsidRPr="00C82870">
        <w:rPr>
          <w:b/>
          <w:sz w:val="20"/>
          <w:szCs w:val="20"/>
          <w:lang w:val="hy-AM"/>
        </w:rPr>
        <w:t>Հաշվեքննողի մեկնաբանությունը։</w:t>
      </w:r>
    </w:p>
    <w:p w14:paraId="0C47496F" w14:textId="77777777" w:rsidR="00700EF5" w:rsidRPr="00C82870" w:rsidRDefault="00700EF5">
      <w:pPr>
        <w:ind w:firstLine="567"/>
        <w:rPr>
          <w:sz w:val="20"/>
          <w:szCs w:val="20"/>
          <w:lang w:val="hy-AM"/>
        </w:rPr>
      </w:pPr>
      <w:r w:rsidRPr="00C82870">
        <w:rPr>
          <w:sz w:val="20"/>
          <w:szCs w:val="20"/>
          <w:lang w:val="hy-AM"/>
        </w:rPr>
        <w:t>Ընդունել ենք ի գիտություն</w:t>
      </w:r>
    </w:p>
    <w:p w14:paraId="6E61A481" w14:textId="568BF6DF" w:rsidR="00D62559" w:rsidRPr="005C082A" w:rsidRDefault="00A04F5D" w:rsidP="00BC2B2B">
      <w:pPr>
        <w:ind w:firstLine="567"/>
        <w:rPr>
          <w:szCs w:val="24"/>
          <w:lang w:val="hy-AM"/>
        </w:rPr>
      </w:pPr>
      <w:r w:rsidRPr="005C082A">
        <w:rPr>
          <w:b/>
          <w:szCs w:val="24"/>
          <w:lang w:val="hy-AM"/>
        </w:rPr>
        <w:t>7</w:t>
      </w:r>
      <w:r w:rsidR="00AE7C09" w:rsidRPr="005C082A">
        <w:rPr>
          <w:b/>
          <w:szCs w:val="24"/>
          <w:lang w:val="hy-AM"/>
        </w:rPr>
        <w:t>.6.</w:t>
      </w:r>
      <w:r w:rsidR="00D62559" w:rsidRPr="005C082A">
        <w:rPr>
          <w:b/>
          <w:szCs w:val="24"/>
          <w:lang w:val="hy-AM"/>
        </w:rPr>
        <w:t xml:space="preserve"> </w:t>
      </w:r>
      <w:r w:rsidR="00D62559" w:rsidRPr="005C082A">
        <w:rPr>
          <w:szCs w:val="24"/>
          <w:lang w:val="hy-AM"/>
        </w:rPr>
        <w:t>CW-NCB-LRNIP-AF-2017/7</w:t>
      </w:r>
      <w:r w:rsidR="00D62559" w:rsidRPr="005C082A">
        <w:rPr>
          <w:b/>
          <w:szCs w:val="24"/>
          <w:lang w:val="hy-AM"/>
        </w:rPr>
        <w:t xml:space="preserve"> </w:t>
      </w:r>
      <w:r w:rsidR="00D62559" w:rsidRPr="005C082A">
        <w:rPr>
          <w:szCs w:val="24"/>
          <w:lang w:val="hy-AM"/>
        </w:rPr>
        <w:t xml:space="preserve">պայմանագրի շրջանակում առկա են անհամապատասխանություններ կատարողական ակտերով հաշվարկված աշխատանքների ծավալների և տեղադրման (թաքնված աշխատանքների) ակտերում ցույց տրված աշխատանքների ծավալների միջև։ Մասնավորապես </w:t>
      </w:r>
    </w:p>
    <w:p w14:paraId="32F0E253" w14:textId="77777777" w:rsidR="00D62559" w:rsidRPr="005C082A" w:rsidRDefault="00D62559" w:rsidP="00BC2B2B">
      <w:pPr>
        <w:pStyle w:val="ListParagraph"/>
        <w:ind w:left="0" w:firstLine="567"/>
        <w:jc w:val="both"/>
        <w:rPr>
          <w:rFonts w:ascii="GHEA Grapalat" w:hAnsi="GHEA Grapalat"/>
          <w:sz w:val="24"/>
          <w:szCs w:val="24"/>
          <w:lang w:val="hy-AM"/>
        </w:rPr>
      </w:pPr>
      <w:r w:rsidRPr="005C082A">
        <w:rPr>
          <w:rFonts w:ascii="GHEA Grapalat" w:hAnsi="GHEA Grapalat"/>
          <w:sz w:val="24"/>
          <w:szCs w:val="24"/>
          <w:lang w:val="hy-AM"/>
        </w:rPr>
        <w:t>- Համաձայն թաքնված աշխատանքների ակտերի 09</w:t>
      </w:r>
      <w:r w:rsidRPr="005C082A">
        <w:rPr>
          <w:rFonts w:ascii="Cambria Math" w:hAnsi="Cambria Math" w:cs="Cambria Math"/>
          <w:sz w:val="24"/>
          <w:szCs w:val="24"/>
          <w:lang w:val="hy-AM"/>
        </w:rPr>
        <w:t>․</w:t>
      </w:r>
      <w:r w:rsidRPr="005C082A">
        <w:rPr>
          <w:rFonts w:ascii="GHEA Grapalat" w:hAnsi="GHEA Grapalat"/>
          <w:sz w:val="24"/>
          <w:szCs w:val="24"/>
          <w:lang w:val="hy-AM"/>
        </w:rPr>
        <w:t>10</w:t>
      </w:r>
      <w:r w:rsidRPr="005C082A">
        <w:rPr>
          <w:rFonts w:ascii="Cambria Math" w:hAnsi="Cambria Math" w:cs="Cambria Math"/>
          <w:sz w:val="24"/>
          <w:szCs w:val="24"/>
          <w:lang w:val="hy-AM"/>
        </w:rPr>
        <w:t>․</w:t>
      </w:r>
      <w:r w:rsidRPr="005C082A">
        <w:rPr>
          <w:rFonts w:ascii="GHEA Grapalat" w:hAnsi="GHEA Grapalat"/>
          <w:sz w:val="24"/>
          <w:szCs w:val="24"/>
          <w:lang w:val="hy-AM"/>
        </w:rPr>
        <w:t>2018</w:t>
      </w:r>
      <w:r w:rsidRPr="005C082A">
        <w:rPr>
          <w:rFonts w:ascii="GHEA Grapalat" w:hAnsi="GHEA Grapalat" w:cs="GHEA Grapalat"/>
          <w:sz w:val="24"/>
          <w:szCs w:val="24"/>
          <w:lang w:val="hy-AM"/>
        </w:rPr>
        <w:t>թ</w:t>
      </w:r>
      <w:r w:rsidRPr="005C082A">
        <w:rPr>
          <w:rFonts w:ascii="GHEA Grapalat" w:hAnsi="GHEA Grapalat"/>
          <w:sz w:val="24"/>
          <w:szCs w:val="24"/>
          <w:lang w:val="hy-AM"/>
        </w:rPr>
        <w:t>-</w:t>
      </w:r>
      <w:r w:rsidRPr="005C082A">
        <w:rPr>
          <w:rFonts w:ascii="GHEA Grapalat" w:hAnsi="GHEA Grapalat" w:cs="GHEA Grapalat"/>
          <w:sz w:val="24"/>
          <w:szCs w:val="24"/>
          <w:lang w:val="hy-AM"/>
        </w:rPr>
        <w:t>ից</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մինչև</w:t>
      </w:r>
      <w:r w:rsidRPr="005C082A">
        <w:rPr>
          <w:rFonts w:ascii="GHEA Grapalat" w:hAnsi="GHEA Grapalat"/>
          <w:sz w:val="24"/>
          <w:szCs w:val="24"/>
          <w:lang w:val="hy-AM"/>
        </w:rPr>
        <w:t xml:space="preserve"> 25</w:t>
      </w:r>
      <w:r w:rsidRPr="005C082A">
        <w:rPr>
          <w:rFonts w:ascii="Cambria Math" w:hAnsi="Cambria Math" w:cs="Cambria Math"/>
          <w:sz w:val="24"/>
          <w:szCs w:val="24"/>
          <w:lang w:val="hy-AM"/>
        </w:rPr>
        <w:t>․</w:t>
      </w:r>
      <w:r w:rsidRPr="005C082A">
        <w:rPr>
          <w:rFonts w:ascii="GHEA Grapalat" w:hAnsi="GHEA Grapalat"/>
          <w:sz w:val="24"/>
          <w:szCs w:val="24"/>
          <w:lang w:val="hy-AM"/>
        </w:rPr>
        <w:t>10</w:t>
      </w:r>
      <w:r w:rsidRPr="005C082A">
        <w:rPr>
          <w:rFonts w:ascii="Cambria Math" w:hAnsi="Cambria Math" w:cs="Cambria Math"/>
          <w:sz w:val="24"/>
          <w:szCs w:val="24"/>
          <w:lang w:val="hy-AM"/>
        </w:rPr>
        <w:t>․</w:t>
      </w:r>
      <w:r w:rsidRPr="005C082A">
        <w:rPr>
          <w:rFonts w:ascii="GHEA Grapalat" w:hAnsi="GHEA Grapalat"/>
          <w:sz w:val="24"/>
          <w:szCs w:val="24"/>
          <w:lang w:val="hy-AM"/>
        </w:rPr>
        <w:t>2018</w:t>
      </w:r>
      <w:r w:rsidRPr="005C082A">
        <w:rPr>
          <w:rFonts w:ascii="GHEA Grapalat" w:hAnsi="GHEA Grapalat" w:cs="GHEA Grapalat"/>
          <w:sz w:val="24"/>
          <w:szCs w:val="24"/>
          <w:lang w:val="hy-AM"/>
        </w:rPr>
        <w:t>թ</w:t>
      </w:r>
      <w:r w:rsidRPr="005C082A">
        <w:rPr>
          <w:rFonts w:ascii="GHEA Grapalat" w:hAnsi="GHEA Grapalat"/>
          <w:sz w:val="24"/>
          <w:szCs w:val="24"/>
          <w:lang w:val="hy-AM"/>
        </w:rPr>
        <w:t>-</w:t>
      </w:r>
      <w:r w:rsidRPr="005C082A">
        <w:rPr>
          <w:rFonts w:ascii="GHEA Grapalat" w:hAnsi="GHEA Grapalat" w:cs="GHEA Grapalat"/>
          <w:sz w:val="24"/>
          <w:szCs w:val="24"/>
          <w:lang w:val="hy-AM"/>
        </w:rPr>
        <w:t>ը</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իրականացվել</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է</w:t>
      </w:r>
      <w:r w:rsidRPr="005C082A">
        <w:rPr>
          <w:rFonts w:ascii="GHEA Grapalat" w:hAnsi="GHEA Grapalat"/>
          <w:sz w:val="24"/>
          <w:szCs w:val="24"/>
          <w:lang w:val="hy-AM"/>
        </w:rPr>
        <w:t xml:space="preserve"> 37018 </w:t>
      </w:r>
      <w:r w:rsidRPr="005C082A">
        <w:rPr>
          <w:rFonts w:ascii="GHEA Grapalat" w:hAnsi="GHEA Grapalat" w:cs="GHEA Grapalat"/>
          <w:sz w:val="24"/>
          <w:szCs w:val="24"/>
          <w:lang w:val="hy-AM"/>
        </w:rPr>
        <w:t>քմ</w:t>
      </w:r>
      <w:r w:rsidRPr="005C082A">
        <w:rPr>
          <w:rFonts w:ascii="GHEA Grapalat" w:hAnsi="GHEA Grapalat"/>
          <w:sz w:val="24"/>
          <w:szCs w:val="24"/>
          <w:lang w:val="hy-AM"/>
        </w:rPr>
        <w:t xml:space="preserve"> 10սմ հաստությամբ  ավազակոպճային շերտ, իսկ համաձայն թիվ 7 կատարողական ակտի 05</w:t>
      </w:r>
      <w:r w:rsidRPr="005C082A">
        <w:rPr>
          <w:rFonts w:ascii="Cambria Math" w:hAnsi="Cambria Math" w:cs="Cambria Math"/>
          <w:sz w:val="24"/>
          <w:szCs w:val="24"/>
          <w:lang w:val="hy-AM"/>
        </w:rPr>
        <w:t>․</w:t>
      </w:r>
      <w:r w:rsidRPr="005C082A">
        <w:rPr>
          <w:rFonts w:ascii="GHEA Grapalat" w:hAnsi="GHEA Grapalat"/>
          <w:sz w:val="24"/>
          <w:szCs w:val="24"/>
          <w:lang w:val="hy-AM"/>
        </w:rPr>
        <w:t>10</w:t>
      </w:r>
      <w:r w:rsidRPr="005C082A">
        <w:rPr>
          <w:rFonts w:ascii="Cambria Math" w:hAnsi="Cambria Math" w:cs="Cambria Math"/>
          <w:sz w:val="24"/>
          <w:szCs w:val="24"/>
          <w:lang w:val="hy-AM"/>
        </w:rPr>
        <w:t>․</w:t>
      </w:r>
      <w:r w:rsidRPr="005C082A">
        <w:rPr>
          <w:rFonts w:ascii="GHEA Grapalat" w:hAnsi="GHEA Grapalat"/>
          <w:sz w:val="24"/>
          <w:szCs w:val="24"/>
          <w:lang w:val="hy-AM"/>
        </w:rPr>
        <w:t>2018</w:t>
      </w:r>
      <w:r w:rsidRPr="005C082A">
        <w:rPr>
          <w:rFonts w:ascii="GHEA Grapalat" w:hAnsi="GHEA Grapalat" w:cs="GHEA Grapalat"/>
          <w:sz w:val="24"/>
          <w:szCs w:val="24"/>
          <w:lang w:val="hy-AM"/>
        </w:rPr>
        <w:t>թ</w:t>
      </w:r>
      <w:r w:rsidRPr="005C082A">
        <w:rPr>
          <w:rFonts w:ascii="GHEA Grapalat" w:hAnsi="GHEA Grapalat"/>
          <w:sz w:val="24"/>
          <w:szCs w:val="24"/>
          <w:lang w:val="hy-AM"/>
        </w:rPr>
        <w:t>-</w:t>
      </w:r>
      <w:r w:rsidRPr="005C082A">
        <w:rPr>
          <w:rFonts w:ascii="GHEA Grapalat" w:hAnsi="GHEA Grapalat" w:cs="GHEA Grapalat"/>
          <w:sz w:val="24"/>
          <w:szCs w:val="24"/>
          <w:lang w:val="hy-AM"/>
        </w:rPr>
        <w:t>ից</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մինչև</w:t>
      </w:r>
      <w:r w:rsidRPr="005C082A">
        <w:rPr>
          <w:rFonts w:ascii="GHEA Grapalat" w:hAnsi="GHEA Grapalat"/>
          <w:sz w:val="24"/>
          <w:szCs w:val="24"/>
          <w:lang w:val="hy-AM"/>
        </w:rPr>
        <w:t xml:space="preserve"> 30</w:t>
      </w:r>
      <w:r w:rsidRPr="005C082A">
        <w:rPr>
          <w:rFonts w:ascii="Cambria Math" w:hAnsi="Cambria Math" w:cs="Cambria Math"/>
          <w:sz w:val="24"/>
          <w:szCs w:val="24"/>
          <w:lang w:val="hy-AM"/>
        </w:rPr>
        <w:t>․</w:t>
      </w:r>
      <w:r w:rsidRPr="005C082A">
        <w:rPr>
          <w:rFonts w:ascii="GHEA Grapalat" w:hAnsi="GHEA Grapalat"/>
          <w:sz w:val="24"/>
          <w:szCs w:val="24"/>
          <w:lang w:val="hy-AM"/>
        </w:rPr>
        <w:t>11</w:t>
      </w:r>
      <w:r w:rsidRPr="005C082A">
        <w:rPr>
          <w:rFonts w:ascii="Cambria Math" w:hAnsi="Cambria Math" w:cs="Cambria Math"/>
          <w:sz w:val="24"/>
          <w:szCs w:val="24"/>
          <w:lang w:val="hy-AM"/>
        </w:rPr>
        <w:t>․</w:t>
      </w:r>
      <w:r w:rsidRPr="005C082A">
        <w:rPr>
          <w:rFonts w:ascii="GHEA Grapalat" w:hAnsi="GHEA Grapalat"/>
          <w:sz w:val="24"/>
          <w:szCs w:val="24"/>
          <w:lang w:val="hy-AM"/>
        </w:rPr>
        <w:t>2018</w:t>
      </w:r>
      <w:r w:rsidRPr="005C082A">
        <w:rPr>
          <w:rFonts w:ascii="GHEA Grapalat" w:hAnsi="GHEA Grapalat" w:cs="GHEA Grapalat"/>
          <w:sz w:val="24"/>
          <w:szCs w:val="24"/>
          <w:lang w:val="hy-AM"/>
        </w:rPr>
        <w:t>թ</w:t>
      </w:r>
      <w:r w:rsidRPr="005C082A">
        <w:rPr>
          <w:rFonts w:ascii="GHEA Grapalat" w:hAnsi="GHEA Grapalat"/>
          <w:sz w:val="24"/>
          <w:szCs w:val="24"/>
          <w:lang w:val="hy-AM"/>
        </w:rPr>
        <w:t>-</w:t>
      </w:r>
      <w:r w:rsidRPr="005C082A">
        <w:rPr>
          <w:rFonts w:ascii="GHEA Grapalat" w:hAnsi="GHEA Grapalat" w:cs="GHEA Grapalat"/>
          <w:sz w:val="24"/>
          <w:szCs w:val="24"/>
          <w:lang w:val="hy-AM"/>
        </w:rPr>
        <w:t>ը</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ընկած</w:t>
      </w:r>
      <w:r w:rsidRPr="005C082A">
        <w:rPr>
          <w:rFonts w:ascii="GHEA Grapalat" w:hAnsi="GHEA Grapalat"/>
          <w:sz w:val="24"/>
          <w:szCs w:val="24"/>
          <w:lang w:val="hy-AM"/>
        </w:rPr>
        <w:t xml:space="preserve"> </w:t>
      </w:r>
      <w:r w:rsidRPr="005C082A">
        <w:rPr>
          <w:rFonts w:ascii="GHEA Grapalat" w:hAnsi="GHEA Grapalat" w:cs="GHEA Grapalat"/>
          <w:sz w:val="24"/>
          <w:szCs w:val="24"/>
          <w:lang w:val="hy-AM"/>
        </w:rPr>
        <w:t>հատվածում</w:t>
      </w:r>
      <w:r w:rsidRPr="005C082A">
        <w:rPr>
          <w:rFonts w:ascii="GHEA Grapalat" w:hAnsi="GHEA Grapalat"/>
          <w:sz w:val="24"/>
          <w:szCs w:val="24"/>
          <w:lang w:val="hy-AM"/>
        </w:rPr>
        <w:t xml:space="preserve"> 10սմ հաստությամբ  ավազակոպճային շերտի իրականացված աշխատանքների ծավալը կազմում է 6470 քմ։</w:t>
      </w:r>
    </w:p>
    <w:p w14:paraId="5E274E8F" w14:textId="77777777" w:rsidR="00D62559" w:rsidRPr="005C082A" w:rsidRDefault="00D62559" w:rsidP="00BC2B2B">
      <w:pPr>
        <w:ind w:firstLine="567"/>
        <w:contextualSpacing/>
        <w:rPr>
          <w:szCs w:val="24"/>
          <w:lang w:val="hy-AM"/>
        </w:rPr>
      </w:pPr>
      <w:r w:rsidRPr="005C082A">
        <w:rPr>
          <w:szCs w:val="24"/>
          <w:lang w:val="hy-AM"/>
        </w:rPr>
        <w:lastRenderedPageBreak/>
        <w:t>- Թիվ 9 կատարողականով իջատեղերում ցույց է տրվել h=12 սմ հաստությամբ C-5 խճային հիմքի կառուցում 4157,05 քմ, h=4 սմ հաստությամբ ա/բ ծածկի կառուցում 4030,09 քմ և h=5 սմ հաստությամբ ա/բ ծածկի կառուցում 61944,9 ք</w:t>
      </w:r>
      <w:r w:rsidRPr="005C082A">
        <w:rPr>
          <w:rFonts w:ascii="Cambria Math" w:hAnsi="Cambria Math" w:cs="Cambria Math"/>
          <w:szCs w:val="24"/>
          <w:lang w:val="hy-AM"/>
        </w:rPr>
        <w:t>․</w:t>
      </w:r>
      <w:r w:rsidRPr="005C082A">
        <w:rPr>
          <w:szCs w:val="24"/>
          <w:lang w:val="hy-AM"/>
        </w:rPr>
        <w:t>մ իսկ թաքնված աշխատանքների ակտերով այն ցույց է տրվել համապատասխանաբար 3382.55քմ և 3036,0 ք</w:t>
      </w:r>
      <w:r w:rsidRPr="005C082A">
        <w:rPr>
          <w:rFonts w:cs="Cambria Math"/>
          <w:szCs w:val="24"/>
          <w:lang w:val="hy-AM"/>
        </w:rPr>
        <w:t xml:space="preserve">մ և </w:t>
      </w:r>
      <w:r w:rsidRPr="005C082A">
        <w:rPr>
          <w:szCs w:val="24"/>
          <w:lang w:val="hy-AM"/>
        </w:rPr>
        <w:t>60166,63 ք</w:t>
      </w:r>
      <w:r w:rsidRPr="005C082A">
        <w:rPr>
          <w:rFonts w:cs="Cambria Math"/>
          <w:szCs w:val="24"/>
          <w:lang w:val="hy-AM"/>
        </w:rPr>
        <w:t>մ։</w:t>
      </w:r>
    </w:p>
    <w:p w14:paraId="24FDBDEF" w14:textId="51C353DD" w:rsidR="00D62559" w:rsidRDefault="00D62559" w:rsidP="00BC2B2B">
      <w:pPr>
        <w:ind w:firstLine="567"/>
        <w:contextualSpacing/>
        <w:rPr>
          <w:szCs w:val="24"/>
          <w:lang w:val="hy-AM"/>
        </w:rPr>
      </w:pPr>
      <w:r w:rsidRPr="005C082A">
        <w:rPr>
          <w:szCs w:val="24"/>
          <w:lang w:val="hy-AM"/>
        </w:rPr>
        <w:t>Նույն հատվածի համար ներկայացրել նույն օրով՝ 16.07.2018թ, ամսագրված սակայն միմյանցից տարբերվող թաքնվաց աշխատանքների ակտեր։ Մեկով Կմ 10+740–Կմ 11+060 հատվածի համար 10սմ հաստությամբ  ավազակոպճային շերտի մակերեսը ցույց է տրվել 2298,5 քմ՝ միջին լայնությունը 7,18մ, իսկ միյուսով Կմ 10+560–Կմ 11+060 հատվածի համար մակերեսը ցույց է տվել 3633,7 քմ իսկ  միջին լայնությունը 9,08 մ։</w:t>
      </w:r>
    </w:p>
    <w:p w14:paraId="0F22637D" w14:textId="77777777" w:rsidR="00592C05" w:rsidRDefault="00592C05">
      <w:pPr>
        <w:spacing w:before="240" w:after="0"/>
        <w:ind w:firstLine="567"/>
        <w:rPr>
          <w:b/>
          <w:sz w:val="20"/>
          <w:szCs w:val="20"/>
          <w:lang w:val="hy-AM"/>
        </w:rPr>
      </w:pPr>
      <w:r>
        <w:rPr>
          <w:b/>
          <w:sz w:val="20"/>
          <w:szCs w:val="20"/>
          <w:lang w:val="hy-AM"/>
        </w:rPr>
        <w:t>Հաշվեքննության օբյեկտի առարկությունները և բացատրությունները։</w:t>
      </w:r>
    </w:p>
    <w:p w14:paraId="354F6643" w14:textId="77777777" w:rsidR="00592C05" w:rsidRPr="007E4EF2" w:rsidRDefault="00592C05">
      <w:pPr>
        <w:ind w:firstLine="567"/>
        <w:rPr>
          <w:sz w:val="20"/>
          <w:szCs w:val="20"/>
          <w:lang w:val="hy-AM"/>
        </w:rPr>
      </w:pPr>
      <w:r w:rsidRPr="007E4EF2">
        <w:rPr>
          <w:sz w:val="20"/>
          <w:szCs w:val="20"/>
          <w:lang w:val="hy-AM"/>
        </w:rPr>
        <w:t>Նշված փաստաթղթերի անհամապատասխանությունները, բացակայությունը կամ առկայութունը ստուգելու, և համապատասխան դիքորոշում/պարզաբանում հայտնելու համար անհրաժեշտ է լրացուցիչ ժամանակ։</w:t>
      </w:r>
    </w:p>
    <w:p w14:paraId="4212E67E" w14:textId="77777777" w:rsidR="00592C05" w:rsidRPr="007E4EF2" w:rsidRDefault="00592C05">
      <w:pPr>
        <w:ind w:firstLine="567"/>
        <w:rPr>
          <w:sz w:val="20"/>
          <w:szCs w:val="20"/>
          <w:lang w:val="hy-AM"/>
        </w:rPr>
      </w:pPr>
      <w:r w:rsidRPr="007E4EF2">
        <w:rPr>
          <w:sz w:val="20"/>
          <w:szCs w:val="20"/>
          <w:lang w:val="hy-AM"/>
        </w:rPr>
        <w:t>Իրականացվող աշխատանքների ամենօրյա հսկողության և փաստաթղթավորման ապահովման համար պատասխանատու է տեխնիկական հսկողությունը։ Թաքնված/միջանկյալ աշխատանքների ակտերը ստորագրվում են կապալառու կազմակերպության և տեխհսկողության կողմից</w:t>
      </w:r>
      <w:r>
        <w:rPr>
          <w:sz w:val="20"/>
          <w:szCs w:val="20"/>
          <w:lang w:val="hy-AM"/>
        </w:rPr>
        <w:t xml:space="preserve"> </w:t>
      </w:r>
      <w:r w:rsidRPr="007E4EF2">
        <w:rPr>
          <w:sz w:val="20"/>
          <w:szCs w:val="20"/>
          <w:lang w:val="hy-AM"/>
        </w:rPr>
        <w:t>և նշված փաստաթղերում տեղ գտած ենթադրյալ անճշտությունները հնարավոր է, որ անուշադրության կամ վրիպումների հետևանք են, որոնք կարող էին առաջանալ աշխատանքային գործընթացում։</w:t>
      </w:r>
    </w:p>
    <w:p w14:paraId="6A21348E" w14:textId="77777777" w:rsidR="00592C05" w:rsidRPr="007E4EF2" w:rsidRDefault="00592C05">
      <w:pPr>
        <w:ind w:firstLine="567"/>
        <w:rPr>
          <w:sz w:val="20"/>
          <w:szCs w:val="20"/>
          <w:lang w:val="hy-AM"/>
        </w:rPr>
      </w:pPr>
      <w:r w:rsidRPr="007E4EF2">
        <w:rPr>
          <w:sz w:val="20"/>
          <w:szCs w:val="20"/>
          <w:lang w:val="hy-AM"/>
        </w:rPr>
        <w:t>Այնուամենայնիվ, առկա են Խորհրդատուի կողմից ներկայացված եզրակացություններ, որոնց համաձայն կատարված աշխատանքների որակն ու տեխնոլոգիական հաջորդականությունը համապատասխանել են Պայմանագրի, Ճանապարհի վերականգնման նախագծի և Պայմանագրի մաս հանդիսացող Տեխնիկական մասնագրերի պահանջներին, կատարված շինմոնտաժային աշխատանքները սահմանված կարգով փաստաթղթավորվել են՝ կազմվել են համապատասխան թաքնված աշխատանքների ակտեր, միջանկյալ ակտեր և հաշվետվություններ,  ապահովված են եղել  շին</w:t>
      </w:r>
      <w:r w:rsidRPr="007E4EF2">
        <w:rPr>
          <w:rFonts w:ascii="Cambria Math" w:hAnsi="Cambria Math" w:cs="Cambria Math"/>
          <w:sz w:val="20"/>
          <w:szCs w:val="20"/>
          <w:lang w:val="hy-AM"/>
        </w:rPr>
        <w:t>․</w:t>
      </w:r>
      <w:r w:rsidRPr="007E4EF2">
        <w:rPr>
          <w:sz w:val="20"/>
          <w:szCs w:val="20"/>
          <w:lang w:val="hy-AM"/>
        </w:rPr>
        <w:t xml:space="preserve"> աշխատանքներում պահանջվող քանակով և հաճախականությամբ լաբորատոր փորձարկումների իրականացումը։</w:t>
      </w:r>
    </w:p>
    <w:p w14:paraId="16EA220D" w14:textId="77777777" w:rsidR="00592C05" w:rsidRDefault="00592C05">
      <w:pPr>
        <w:spacing w:before="240" w:after="0"/>
        <w:ind w:firstLine="567"/>
        <w:rPr>
          <w:b/>
          <w:sz w:val="20"/>
          <w:szCs w:val="20"/>
          <w:lang w:val="hy-AM"/>
        </w:rPr>
      </w:pPr>
      <w:r w:rsidRPr="007E4EF2">
        <w:rPr>
          <w:sz w:val="20"/>
          <w:szCs w:val="20"/>
          <w:lang w:val="hy-AM"/>
        </w:rPr>
        <w:t>Նշված եզրակացությունները տրամադրված են ՀՊ-ին։</w:t>
      </w:r>
    </w:p>
    <w:p w14:paraId="2F2906DE" w14:textId="77777777" w:rsidR="00592C05" w:rsidRDefault="00592C05">
      <w:pPr>
        <w:spacing w:before="240" w:after="0"/>
        <w:ind w:firstLine="567"/>
        <w:rPr>
          <w:b/>
          <w:sz w:val="20"/>
          <w:szCs w:val="20"/>
          <w:lang w:val="hy-AM"/>
        </w:rPr>
      </w:pPr>
      <w:r>
        <w:rPr>
          <w:b/>
          <w:sz w:val="20"/>
          <w:szCs w:val="20"/>
          <w:lang w:val="hy-AM"/>
        </w:rPr>
        <w:t>Հաշվեքննողի մեկնաբանությունը։</w:t>
      </w:r>
    </w:p>
    <w:p w14:paraId="53F94AB0" w14:textId="77777777" w:rsidR="00592C05" w:rsidRPr="001750C1" w:rsidRDefault="00592C05">
      <w:pPr>
        <w:spacing w:before="240" w:after="0"/>
        <w:ind w:firstLine="567"/>
        <w:rPr>
          <w:sz w:val="20"/>
          <w:szCs w:val="20"/>
          <w:lang w:val="hy-AM"/>
        </w:rPr>
      </w:pPr>
      <w:r w:rsidRPr="001750C1">
        <w:rPr>
          <w:sz w:val="20"/>
          <w:szCs w:val="20"/>
          <w:lang w:val="hy-AM"/>
        </w:rPr>
        <w:t xml:space="preserve">Խորհրդատուն դրական եզրակացություն տալու համար պետք է հինվեր նաև թաքնված աշխատանքների ակտերի վրա։ </w:t>
      </w:r>
    </w:p>
    <w:p w14:paraId="4D75268B" w14:textId="77777777" w:rsidR="00592C05" w:rsidRPr="005C082A" w:rsidRDefault="00592C05" w:rsidP="00BC2B2B">
      <w:pPr>
        <w:ind w:firstLine="567"/>
        <w:contextualSpacing/>
        <w:rPr>
          <w:szCs w:val="24"/>
          <w:lang w:val="hy-AM"/>
        </w:rPr>
      </w:pPr>
    </w:p>
    <w:p w14:paraId="356C4893" w14:textId="528AB9A1" w:rsidR="00D62559" w:rsidRPr="005C082A" w:rsidRDefault="00A04F5D" w:rsidP="00BC2B2B">
      <w:pPr>
        <w:ind w:firstLine="567"/>
        <w:rPr>
          <w:szCs w:val="24"/>
          <w:lang w:val="hy-AM"/>
        </w:rPr>
      </w:pPr>
      <w:r w:rsidRPr="005C082A">
        <w:rPr>
          <w:b/>
          <w:szCs w:val="24"/>
          <w:lang w:val="hy-AM"/>
        </w:rPr>
        <w:lastRenderedPageBreak/>
        <w:t>7</w:t>
      </w:r>
      <w:r w:rsidR="00AE7C09" w:rsidRPr="005C082A">
        <w:rPr>
          <w:b/>
          <w:szCs w:val="24"/>
          <w:lang w:val="hy-AM"/>
        </w:rPr>
        <w:t>.7.</w:t>
      </w:r>
      <w:r w:rsidR="00D62559" w:rsidRPr="005C082A">
        <w:rPr>
          <w:b/>
          <w:szCs w:val="24"/>
          <w:lang w:val="hy-AM"/>
        </w:rPr>
        <w:t xml:space="preserve"> </w:t>
      </w:r>
      <w:r w:rsidR="00D62559" w:rsidRPr="005C082A">
        <w:rPr>
          <w:szCs w:val="24"/>
          <w:lang w:val="hy-AM"/>
        </w:rPr>
        <w:t>CW_NCB-LRNIP AF-2019/4</w:t>
      </w:r>
      <w:r w:rsidR="00D62559" w:rsidRPr="005C082A">
        <w:rPr>
          <w:b/>
          <w:szCs w:val="24"/>
          <w:lang w:val="hy-AM"/>
        </w:rPr>
        <w:t xml:space="preserve"> </w:t>
      </w:r>
      <w:r w:rsidR="00D62559" w:rsidRPr="005C082A">
        <w:rPr>
          <w:szCs w:val="24"/>
          <w:lang w:val="hy-AM"/>
        </w:rPr>
        <w:t xml:space="preserve">պայմանագրի շրջանակում առկա են անհամապատասխանություններ կատարողական ակտերով հաշվարկված աշխատանքների ծավալների, տեղադրման ակտերում և թաքնված աշխատանքների ակտերում ցույց տրված աշխատանքների ծավալների միջև։ Մասնավորապես </w:t>
      </w:r>
    </w:p>
    <w:p w14:paraId="16290593" w14:textId="696925CB" w:rsidR="00D62559" w:rsidRPr="005C082A" w:rsidRDefault="00D62559" w:rsidP="00BC2B2B">
      <w:pPr>
        <w:numPr>
          <w:ilvl w:val="0"/>
          <w:numId w:val="31"/>
        </w:numPr>
        <w:spacing w:before="0" w:after="160"/>
        <w:ind w:left="0" w:firstLine="567"/>
        <w:contextualSpacing/>
        <w:rPr>
          <w:b/>
          <w:szCs w:val="24"/>
          <w:lang w:val="hy-AM"/>
        </w:rPr>
      </w:pPr>
      <w:r w:rsidRPr="005C082A">
        <w:rPr>
          <w:szCs w:val="24"/>
          <w:lang w:val="hy-AM"/>
        </w:rPr>
        <w:t>23</w:t>
      </w:r>
      <w:r w:rsidRPr="005C082A">
        <w:rPr>
          <w:rFonts w:ascii="Cambria Math" w:hAnsi="Cambria Math" w:cs="Cambria Math"/>
          <w:szCs w:val="24"/>
          <w:lang w:val="hy-AM"/>
        </w:rPr>
        <w:t>․</w:t>
      </w:r>
      <w:r w:rsidRPr="005C082A">
        <w:rPr>
          <w:szCs w:val="24"/>
          <w:lang w:val="hy-AM"/>
        </w:rPr>
        <w:t>08</w:t>
      </w:r>
      <w:r w:rsidRPr="005C082A">
        <w:rPr>
          <w:rFonts w:ascii="Cambria Math" w:hAnsi="Cambria Math" w:cs="Cambria Math"/>
          <w:szCs w:val="24"/>
          <w:lang w:val="hy-AM"/>
        </w:rPr>
        <w:t>․</w:t>
      </w:r>
      <w:r w:rsidRPr="005C082A">
        <w:rPr>
          <w:szCs w:val="24"/>
          <w:lang w:val="hy-AM"/>
        </w:rPr>
        <w:t>2019թ</w:t>
      </w:r>
      <w:r w:rsidRPr="005C082A">
        <w:rPr>
          <w:rFonts w:ascii="Cambria Math" w:hAnsi="Cambria Math" w:cs="Cambria Math"/>
          <w:szCs w:val="24"/>
          <w:lang w:val="hy-AM"/>
        </w:rPr>
        <w:t>․</w:t>
      </w:r>
      <w:r w:rsidRPr="005C082A">
        <w:rPr>
          <w:szCs w:val="24"/>
          <w:lang w:val="hy-AM"/>
        </w:rPr>
        <w:t xml:space="preserve"> կազմված </w:t>
      </w:r>
      <w:r w:rsidR="00683DFD" w:rsidRPr="005C082A">
        <w:rPr>
          <w:szCs w:val="24"/>
          <w:lang w:val="hy-AM"/>
        </w:rPr>
        <w:t xml:space="preserve">N </w:t>
      </w:r>
      <w:r w:rsidRPr="005C082A">
        <w:rPr>
          <w:szCs w:val="24"/>
          <w:lang w:val="hy-AM"/>
        </w:rPr>
        <w:t>2/100 ակտում նշվել է ա/բ 5սմ հաստությամբ ստորին շերտի տեղադրում կմ 4+000 – կմ 4+500 հատվածում 3142,8 քմ, իսկ 23</w:t>
      </w:r>
      <w:r w:rsidRPr="005C082A">
        <w:rPr>
          <w:rFonts w:ascii="Cambria Math" w:hAnsi="Cambria Math" w:cs="Cambria Math"/>
          <w:szCs w:val="24"/>
          <w:lang w:val="hy-AM"/>
        </w:rPr>
        <w:t>․</w:t>
      </w:r>
      <w:r w:rsidRPr="005C082A">
        <w:rPr>
          <w:szCs w:val="24"/>
          <w:lang w:val="hy-AM"/>
        </w:rPr>
        <w:t>08</w:t>
      </w:r>
      <w:r w:rsidRPr="005C082A">
        <w:rPr>
          <w:rFonts w:ascii="Cambria Math" w:hAnsi="Cambria Math" w:cs="Cambria Math"/>
          <w:szCs w:val="24"/>
          <w:lang w:val="hy-AM"/>
        </w:rPr>
        <w:t>․</w:t>
      </w:r>
      <w:r w:rsidRPr="005C082A">
        <w:rPr>
          <w:szCs w:val="24"/>
          <w:lang w:val="hy-AM"/>
        </w:rPr>
        <w:t>2019թ</w:t>
      </w:r>
      <w:r w:rsidRPr="005C082A">
        <w:rPr>
          <w:rFonts w:ascii="Cambria Math" w:hAnsi="Cambria Math" w:cs="Cambria Math"/>
          <w:szCs w:val="24"/>
          <w:lang w:val="hy-AM"/>
        </w:rPr>
        <w:t>․</w:t>
      </w:r>
      <w:r w:rsidRPr="005C082A">
        <w:rPr>
          <w:szCs w:val="24"/>
          <w:lang w:val="hy-AM"/>
        </w:rPr>
        <w:t xml:space="preserve">ա/բ շերտի տեղադրման </w:t>
      </w:r>
      <w:r w:rsidR="00683DFD" w:rsidRPr="005C082A">
        <w:rPr>
          <w:szCs w:val="24"/>
          <w:lang w:val="hy-AM"/>
        </w:rPr>
        <w:t>N</w:t>
      </w:r>
      <w:r w:rsidRPr="005C082A">
        <w:rPr>
          <w:szCs w:val="24"/>
          <w:lang w:val="hy-AM"/>
        </w:rPr>
        <w:t xml:space="preserve"> 2/101 </w:t>
      </w:r>
      <w:r w:rsidR="00683DFD" w:rsidRPr="005C082A">
        <w:rPr>
          <w:szCs w:val="24"/>
          <w:lang w:val="hy-AM"/>
        </w:rPr>
        <w:t xml:space="preserve">սխեմայում </w:t>
      </w:r>
      <w:r w:rsidRPr="005C082A">
        <w:rPr>
          <w:szCs w:val="24"/>
          <w:lang w:val="hy-AM"/>
        </w:rPr>
        <w:t>նույն կիլոմետրերում նշվել է ստորին շերտի տեղադրում 3318,8 քմ</w:t>
      </w:r>
      <w:r w:rsidRPr="005C082A">
        <w:rPr>
          <w:b/>
          <w:szCs w:val="24"/>
          <w:lang w:val="hy-AM"/>
        </w:rPr>
        <w:t>։</w:t>
      </w:r>
    </w:p>
    <w:p w14:paraId="01F01E26" w14:textId="77777777" w:rsidR="00592C05" w:rsidRDefault="00D62559" w:rsidP="00BC2B2B">
      <w:pPr>
        <w:numPr>
          <w:ilvl w:val="0"/>
          <w:numId w:val="31"/>
        </w:numPr>
        <w:spacing w:before="0" w:after="160"/>
        <w:ind w:left="0" w:firstLine="567"/>
        <w:contextualSpacing/>
        <w:rPr>
          <w:szCs w:val="24"/>
          <w:lang w:val="hy-AM"/>
        </w:rPr>
      </w:pPr>
      <w:r w:rsidRPr="005C082A">
        <w:rPr>
          <w:szCs w:val="24"/>
          <w:lang w:val="hy-AM"/>
        </w:rPr>
        <w:t>18</w:t>
      </w:r>
      <w:r w:rsidRPr="005C082A">
        <w:rPr>
          <w:rFonts w:ascii="Cambria Math" w:hAnsi="Cambria Math" w:cs="Cambria Math"/>
          <w:szCs w:val="24"/>
          <w:lang w:val="hy-AM"/>
        </w:rPr>
        <w:t>․</w:t>
      </w:r>
      <w:r w:rsidRPr="005C082A">
        <w:rPr>
          <w:szCs w:val="24"/>
          <w:lang w:val="hy-AM"/>
        </w:rPr>
        <w:t>12</w:t>
      </w:r>
      <w:r w:rsidRPr="005C082A">
        <w:rPr>
          <w:rFonts w:ascii="Cambria Math" w:hAnsi="Cambria Math" w:cs="Cambria Math"/>
          <w:szCs w:val="24"/>
          <w:lang w:val="hy-AM"/>
        </w:rPr>
        <w:t>․</w:t>
      </w:r>
      <w:r w:rsidRPr="005C082A">
        <w:rPr>
          <w:szCs w:val="24"/>
          <w:lang w:val="hy-AM"/>
        </w:rPr>
        <w:t>2019թ</w:t>
      </w:r>
      <w:r w:rsidRPr="005C082A">
        <w:rPr>
          <w:rFonts w:ascii="Cambria Math" w:hAnsi="Cambria Math" w:cs="Cambria Math"/>
          <w:szCs w:val="24"/>
          <w:lang w:val="hy-AM"/>
        </w:rPr>
        <w:t>․</w:t>
      </w:r>
      <w:r w:rsidRPr="005C082A">
        <w:rPr>
          <w:rFonts w:cs="Cambria Math"/>
          <w:szCs w:val="24"/>
          <w:lang w:val="hy-AM"/>
        </w:rPr>
        <w:t xml:space="preserve">-ի </w:t>
      </w:r>
      <w:r w:rsidRPr="005C082A">
        <w:rPr>
          <w:szCs w:val="24"/>
          <w:lang w:val="hy-AM"/>
        </w:rPr>
        <w:t>կատարողական ակտով ցույց տրված 339,5 քմ 5սմ հաստությամբ իրականացված մանրահատիկ ծակոտկեն ա/բ համար չի կազմվել թաքնված աշխատանքների ակտ և տեղադրման սխեմա, չի կազմվել նաև նույն ակտով ցույց տրված 339,5 քմ 4սմ հաստությամբ վերին շերտի տեղադրման սխեման։</w:t>
      </w:r>
      <w:bookmarkStart w:id="28" w:name="_Toc125128195"/>
      <w:bookmarkStart w:id="29" w:name="_Toc125128531"/>
      <w:bookmarkStart w:id="30" w:name="_Toc125128196"/>
      <w:bookmarkStart w:id="31" w:name="_Toc125128532"/>
      <w:bookmarkEnd w:id="28"/>
      <w:bookmarkEnd w:id="29"/>
      <w:bookmarkEnd w:id="30"/>
      <w:bookmarkEnd w:id="31"/>
    </w:p>
    <w:p w14:paraId="41EFE264" w14:textId="77777777" w:rsidR="00592C05" w:rsidRPr="00FF16B1" w:rsidRDefault="00592C05" w:rsidP="00FF16B1">
      <w:pPr>
        <w:spacing w:before="240" w:after="0"/>
        <w:ind w:firstLine="567"/>
        <w:rPr>
          <w:b/>
          <w:sz w:val="20"/>
          <w:szCs w:val="20"/>
          <w:lang w:val="hy-AM"/>
        </w:rPr>
      </w:pPr>
      <w:r w:rsidRPr="00B46B9E">
        <w:rPr>
          <w:b/>
          <w:sz w:val="20"/>
          <w:szCs w:val="20"/>
          <w:lang w:val="hy-AM"/>
        </w:rPr>
        <w:t>Հաշվեքննության</w:t>
      </w:r>
      <w:r w:rsidRPr="00FF16B1">
        <w:rPr>
          <w:b/>
          <w:sz w:val="20"/>
          <w:szCs w:val="20"/>
          <w:lang w:val="hy-AM"/>
        </w:rPr>
        <w:t xml:space="preserve"> օբյեկտի առարկությունները և բացատրությունները։</w:t>
      </w:r>
    </w:p>
    <w:p w14:paraId="2059533A" w14:textId="77777777" w:rsidR="00592C05" w:rsidRDefault="00592C05" w:rsidP="00FF16B1">
      <w:pPr>
        <w:ind w:firstLine="567"/>
        <w:rPr>
          <w:sz w:val="20"/>
          <w:szCs w:val="20"/>
          <w:lang w:val="hy-AM"/>
        </w:rPr>
      </w:pPr>
      <w:r w:rsidRPr="00FF16B1">
        <w:rPr>
          <w:sz w:val="20"/>
          <w:szCs w:val="20"/>
          <w:lang w:val="hy-AM"/>
        </w:rPr>
        <w:t>Իրականացվող աշխատանքների ամենօրյա հսկողության և փաստաթղթավորման ապահովման համար պատասխանատու է տեխնիկական հսկողությունը։ Թաքնված/միջանկյալ աշխատանքների ակտերը ստորագրվում են կապալառու կազմակերպության և տեխհսկողության կողմից  և նշված փաստաթղերում տեղ գտած անճշտությունները հնարավոր է, որ անուշադրության կամ վրիպումների հետևանք են, որոնք կարող էին առաջանալ աշխատանքային գործընթացում։ Նշված փաստաթղթերի անհամապատասխանությունները, բացակայությունը կամ առկայութունը ստուգելու, և համապատասխան դիքորոշում/պարզաբանում հայտնելու համար անհրաժեշտ է լրացուցիչ ժամանակ։</w:t>
      </w:r>
    </w:p>
    <w:p w14:paraId="60347B89" w14:textId="77777777" w:rsidR="00592C05" w:rsidRDefault="00592C05" w:rsidP="00FF16B1">
      <w:pPr>
        <w:ind w:firstLine="567"/>
        <w:rPr>
          <w:sz w:val="20"/>
          <w:szCs w:val="20"/>
          <w:lang w:val="hy-AM"/>
        </w:rPr>
      </w:pPr>
      <w:r w:rsidRPr="00B46B9E">
        <w:rPr>
          <w:sz w:val="20"/>
          <w:szCs w:val="20"/>
          <w:lang w:val="hy-AM"/>
        </w:rPr>
        <w:t>Այնուամենայնիվ</w:t>
      </w:r>
      <w:r w:rsidRPr="00FF16B1">
        <w:rPr>
          <w:sz w:val="20"/>
          <w:szCs w:val="20"/>
          <w:lang w:val="hy-AM"/>
        </w:rPr>
        <w:t>, առկա են Խորհրդատուի կողմից ներկայացված եզրակացություններ, որոնց համաձայն կատարված շինմոնտաժային աշխատանքները սահմանված կարգով փաստաթղթավորված են՝ կազմված են համապատասխան թաքնված աշխատանքների ակտեր, միջանկյալ ակտեր և հաշվետվություններ։</w:t>
      </w:r>
    </w:p>
    <w:p w14:paraId="27C0B4EE" w14:textId="64710E0A" w:rsidR="00592C05" w:rsidRPr="00FF16B1" w:rsidRDefault="00592C05" w:rsidP="00FF16B1">
      <w:pPr>
        <w:ind w:firstLine="567"/>
        <w:rPr>
          <w:sz w:val="20"/>
          <w:szCs w:val="20"/>
          <w:lang w:val="hy-AM"/>
        </w:rPr>
      </w:pPr>
      <w:r w:rsidRPr="00B46B9E">
        <w:rPr>
          <w:sz w:val="20"/>
          <w:szCs w:val="20"/>
          <w:lang w:val="hy-AM"/>
        </w:rPr>
        <w:t>Նշված</w:t>
      </w:r>
      <w:r w:rsidRPr="00FF16B1">
        <w:rPr>
          <w:sz w:val="20"/>
          <w:szCs w:val="20"/>
          <w:lang w:val="hy-AM"/>
        </w:rPr>
        <w:t xml:space="preserve"> եզրակացությունները տրամադրված են ՀՊ-ին։</w:t>
      </w:r>
    </w:p>
    <w:p w14:paraId="26E9E335" w14:textId="77777777" w:rsidR="00592C05" w:rsidRPr="00FF16B1" w:rsidRDefault="00592C05" w:rsidP="00FF16B1">
      <w:pPr>
        <w:spacing w:before="240" w:after="0"/>
        <w:ind w:firstLine="567"/>
        <w:rPr>
          <w:b/>
          <w:sz w:val="20"/>
          <w:szCs w:val="20"/>
          <w:lang w:val="hy-AM"/>
        </w:rPr>
      </w:pPr>
      <w:r w:rsidRPr="00B46B9E">
        <w:rPr>
          <w:b/>
          <w:sz w:val="20"/>
          <w:szCs w:val="20"/>
          <w:lang w:val="hy-AM"/>
        </w:rPr>
        <w:t>Հաշվեքննողի</w:t>
      </w:r>
      <w:r w:rsidRPr="00FF16B1">
        <w:rPr>
          <w:b/>
          <w:sz w:val="20"/>
          <w:szCs w:val="20"/>
          <w:lang w:val="hy-AM"/>
        </w:rPr>
        <w:t xml:space="preserve"> մեկնաբանությունը։</w:t>
      </w:r>
    </w:p>
    <w:p w14:paraId="75BE2C70" w14:textId="77777777" w:rsidR="00592C05" w:rsidRPr="00FF16B1" w:rsidRDefault="00592C05" w:rsidP="00FF16B1">
      <w:pPr>
        <w:spacing w:before="240" w:after="0"/>
        <w:ind w:firstLine="567"/>
        <w:rPr>
          <w:b/>
          <w:sz w:val="20"/>
          <w:szCs w:val="20"/>
          <w:lang w:val="hy-AM"/>
        </w:rPr>
      </w:pPr>
      <w:r w:rsidRPr="00FF16B1">
        <w:rPr>
          <w:sz w:val="20"/>
          <w:szCs w:val="20"/>
          <w:lang w:val="hy-AM"/>
        </w:rPr>
        <w:t>Խորհրդատուն դրական եզրակացություն տալու համար պետք է հինվեր նաև թաքնված աշխատանքների ակտերի և տեղադրման սխեմաների վրա։</w:t>
      </w:r>
    </w:p>
    <w:p w14:paraId="7F85487F" w14:textId="1F2FA596" w:rsidR="00AE7C09" w:rsidRPr="00FF16B1" w:rsidRDefault="00AE7C09" w:rsidP="00FF16B1">
      <w:pPr>
        <w:numPr>
          <w:ilvl w:val="0"/>
          <w:numId w:val="31"/>
        </w:numPr>
        <w:spacing w:before="0" w:after="160"/>
        <w:ind w:left="0" w:firstLine="567"/>
        <w:contextualSpacing/>
        <w:rPr>
          <w:sz w:val="20"/>
          <w:szCs w:val="20"/>
          <w:lang w:val="hy-AM"/>
        </w:rPr>
      </w:pPr>
      <w:r w:rsidRPr="00FF16B1">
        <w:rPr>
          <w:rFonts w:eastAsia="Calibri"/>
          <w:sz w:val="20"/>
          <w:szCs w:val="20"/>
          <w:lang w:val="hy-AM" w:eastAsia="x-none"/>
        </w:rPr>
        <w:br w:type="page"/>
      </w:r>
    </w:p>
    <w:p w14:paraId="2DF9BC73" w14:textId="16D2292A" w:rsidR="00AC7646" w:rsidRPr="005C082A" w:rsidRDefault="00AC7646" w:rsidP="008D65F5">
      <w:pPr>
        <w:pStyle w:val="Heading1"/>
      </w:pPr>
      <w:bookmarkStart w:id="32" w:name="_Toc127462668"/>
      <w:bookmarkStart w:id="33" w:name="_Toc128393699"/>
      <w:r w:rsidRPr="005C082A">
        <w:lastRenderedPageBreak/>
        <w:t>ԱՌԱՋԱՐԿՈՒԹՅՈՒՆՆԵՐ</w:t>
      </w:r>
      <w:bookmarkEnd w:id="32"/>
      <w:bookmarkEnd w:id="33"/>
    </w:p>
    <w:p w14:paraId="1781FB30" w14:textId="20AC6A6F" w:rsidR="00A04F5D" w:rsidRPr="005C082A" w:rsidRDefault="00A04F5D" w:rsidP="00A87568">
      <w:pPr>
        <w:ind w:firstLine="0"/>
        <w:jc w:val="center"/>
        <w:rPr>
          <w:lang w:val="ru-RU"/>
        </w:rPr>
      </w:pPr>
      <w:r w:rsidRPr="005C082A">
        <w:rPr>
          <w:b/>
          <w:lang w:val="en-GB"/>
        </w:rPr>
        <w:t>ՀՀ</w:t>
      </w:r>
      <w:r w:rsidRPr="005C082A">
        <w:rPr>
          <w:b/>
          <w:lang w:val="ru-RU"/>
        </w:rPr>
        <w:t xml:space="preserve"> </w:t>
      </w:r>
      <w:r w:rsidRPr="005C082A">
        <w:rPr>
          <w:b/>
          <w:lang w:val="en-GB"/>
        </w:rPr>
        <w:t>տարածքային</w:t>
      </w:r>
      <w:r w:rsidRPr="005C082A">
        <w:rPr>
          <w:b/>
          <w:lang w:val="ru-RU"/>
        </w:rPr>
        <w:t xml:space="preserve"> </w:t>
      </w:r>
      <w:r w:rsidRPr="005C082A">
        <w:rPr>
          <w:b/>
          <w:lang w:val="en-GB"/>
        </w:rPr>
        <w:t>կառավարման</w:t>
      </w:r>
      <w:r w:rsidRPr="005C082A">
        <w:rPr>
          <w:b/>
          <w:lang w:val="ru-RU"/>
        </w:rPr>
        <w:t xml:space="preserve"> </w:t>
      </w:r>
      <w:r w:rsidRPr="005C082A">
        <w:rPr>
          <w:b/>
          <w:lang w:val="en-GB"/>
        </w:rPr>
        <w:t>և</w:t>
      </w:r>
      <w:r w:rsidRPr="005C082A">
        <w:rPr>
          <w:b/>
          <w:lang w:val="ru-RU"/>
        </w:rPr>
        <w:t xml:space="preserve"> </w:t>
      </w:r>
      <w:r w:rsidRPr="005C082A">
        <w:rPr>
          <w:b/>
          <w:lang w:val="en-GB"/>
        </w:rPr>
        <w:t>ենթակառուցվածքների</w:t>
      </w:r>
      <w:r w:rsidRPr="005C082A">
        <w:rPr>
          <w:b/>
          <w:lang w:val="ru-RU"/>
        </w:rPr>
        <w:t xml:space="preserve"> </w:t>
      </w:r>
      <w:r w:rsidRPr="005C082A">
        <w:rPr>
          <w:b/>
          <w:lang w:val="en-GB"/>
        </w:rPr>
        <w:t>նախարարությանը</w:t>
      </w:r>
    </w:p>
    <w:p w14:paraId="783FCB7E" w14:textId="0E2E2AEB"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 xml:space="preserve">Խորհրդատուի կողմից ծառայությունները պայմանագրով և օրենսդրությամբ սահմանված պահանջներին ոչ համապատասխան մատուցելու համար </w:t>
      </w:r>
      <w:r w:rsidR="00483CC5" w:rsidRPr="005C082A">
        <w:rPr>
          <w:rFonts w:ascii="GHEA Grapalat" w:eastAsia="SimSun" w:hAnsi="GHEA Grapalat" w:cs="Times New Roman"/>
          <w:sz w:val="24"/>
          <w:szCs w:val="24"/>
          <w:lang w:val="en-GB"/>
        </w:rPr>
        <w:t>պայմանագրերում</w:t>
      </w:r>
      <w:r w:rsidR="00483CC5" w:rsidRPr="005C082A">
        <w:rPr>
          <w:rFonts w:ascii="GHEA Grapalat" w:eastAsia="SimSun" w:hAnsi="GHEA Grapalat" w:cs="Times New Roman"/>
          <w:sz w:val="24"/>
          <w:szCs w:val="24"/>
          <w:lang w:val="ru-RU"/>
        </w:rPr>
        <w:t xml:space="preserve"> </w:t>
      </w:r>
      <w:r w:rsidRPr="005C082A">
        <w:rPr>
          <w:rFonts w:ascii="GHEA Grapalat" w:eastAsia="SimSun" w:hAnsi="GHEA Grapalat" w:cs="Times New Roman"/>
          <w:sz w:val="24"/>
          <w:szCs w:val="24"/>
          <w:lang w:val="hy-AM"/>
        </w:rPr>
        <w:t>սահմանել նաև ֆինանսական պատասխանատվություն (տույժեր</w:t>
      </w:r>
      <w:r w:rsidR="00683DFD" w:rsidRPr="005C082A">
        <w:rPr>
          <w:rFonts w:ascii="GHEA Grapalat" w:eastAsia="SimSun" w:hAnsi="GHEA Grapalat" w:cs="Times New Roman"/>
          <w:sz w:val="24"/>
          <w:szCs w:val="24"/>
          <w:lang w:val="ru-RU"/>
        </w:rPr>
        <w:t>,</w:t>
      </w:r>
      <w:r w:rsidRPr="005C082A">
        <w:rPr>
          <w:rFonts w:ascii="GHEA Grapalat" w:eastAsia="SimSun" w:hAnsi="GHEA Grapalat" w:cs="Times New Roman"/>
          <w:sz w:val="24"/>
          <w:szCs w:val="24"/>
          <w:lang w:val="hy-AM"/>
        </w:rPr>
        <w:t xml:space="preserve"> տուգանքներ)։</w:t>
      </w:r>
    </w:p>
    <w:p w14:paraId="426EA6BF" w14:textId="77777777"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Նախագծման պայմանագրերում ներառել դրույթ, որ շինարարական աշխատանքների կատարման ընթացքում նախագծային շեղումներ առաջանալու դեպքում նախագծողը պատվիրատուին վճարի տուգանք` յուրաքանչյուր արձանագրված շեղման</w:t>
      </w:r>
      <w:r w:rsidRPr="005C082A">
        <w:rPr>
          <w:rFonts w:ascii="Calibri" w:eastAsia="SimSun" w:hAnsi="Calibri" w:cs="Calibri"/>
          <w:sz w:val="24"/>
          <w:szCs w:val="24"/>
          <w:lang w:val="hy-AM"/>
        </w:rPr>
        <w:t> </w:t>
      </w:r>
      <w:r w:rsidRPr="005C082A">
        <w:rPr>
          <w:rFonts w:ascii="GHEA Grapalat" w:eastAsia="SimSun" w:hAnsi="GHEA Grapalat" w:cs="Times New Roman"/>
          <w:sz w:val="24"/>
          <w:szCs w:val="24"/>
          <w:lang w:val="hy-AM"/>
        </w:rPr>
        <w:t>համար՝ սահմանելով թույլատրելի շեղման չափը</w:t>
      </w:r>
      <w:r w:rsidRPr="003810E9">
        <w:rPr>
          <w:rFonts w:ascii="GHEA Grapalat" w:eastAsia="SimSun" w:hAnsi="GHEA Grapalat" w:cs="Times New Roman"/>
          <w:sz w:val="24"/>
          <w:szCs w:val="24"/>
          <w:lang w:val="hy-AM"/>
        </w:rPr>
        <w:t>։</w:t>
      </w:r>
    </w:p>
    <w:p w14:paraId="29FFBE89" w14:textId="77777777"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Նախագծային պայմանագրերում սահմանել պահանջ, որ նախագծային փաստաթղթերում սահմանվեն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r w:rsidRPr="003810E9">
        <w:rPr>
          <w:rFonts w:ascii="GHEA Grapalat" w:eastAsia="SimSun" w:hAnsi="GHEA Grapalat" w:cs="Times New Roman"/>
          <w:sz w:val="24"/>
          <w:szCs w:val="24"/>
          <w:lang w:val="hy-AM"/>
        </w:rPr>
        <w:t>։</w:t>
      </w:r>
    </w:p>
    <w:p w14:paraId="533D5CBE" w14:textId="77777777"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 xml:space="preserve">Աշխատանքների առանձին տեսակների ծավալների փոփոխման կամ նոր աշխատանքներ կատարելու անհրաժեշտություն առաջանալու հետևանքով կատարման ժամկետի ցանկացած երկարաձգում իրականացնել բացառապես մասնագիտական եզրակացության առկայության պայմաններում, որում </w:t>
      </w:r>
    </w:p>
    <w:p w14:paraId="741BD018" w14:textId="3BB64082" w:rsidR="00190D89" w:rsidRPr="005C082A" w:rsidRDefault="00190D89" w:rsidP="00190D89">
      <w:pPr>
        <w:spacing w:after="0"/>
        <w:ind w:firstLine="567"/>
        <w:rPr>
          <w:szCs w:val="24"/>
          <w:lang w:val="hy-AM"/>
        </w:rPr>
      </w:pPr>
      <w:r w:rsidRPr="005C082A">
        <w:rPr>
          <w:szCs w:val="24"/>
          <w:lang w:val="hy-AM"/>
        </w:rPr>
        <w:t>ա</w:t>
      </w:r>
      <w:r w:rsidR="00B501DB" w:rsidRPr="005C082A">
        <w:rPr>
          <w:szCs w:val="24"/>
          <w:lang w:val="hy-AM"/>
        </w:rPr>
        <w:t>)</w:t>
      </w:r>
      <w:r w:rsidR="00B501DB" w:rsidRPr="005C082A">
        <w:rPr>
          <w:rFonts w:ascii="Calibri" w:hAnsi="Calibri" w:cs="Calibri"/>
          <w:szCs w:val="24"/>
          <w:lang w:val="hy-AM"/>
        </w:rPr>
        <w:t> </w:t>
      </w:r>
      <w:r w:rsidRPr="005C082A">
        <w:rPr>
          <w:szCs w:val="24"/>
          <w:lang w:val="hy-AM"/>
        </w:rPr>
        <w:t>կհիմնավորվի որ այդ աշխատանքների կատարումը կպահանջի մնացած աշխատանքների արագացում, որն էլ նոր ծախսեր կգոյացնի Կապալառուի համար։</w:t>
      </w:r>
    </w:p>
    <w:p w14:paraId="0B678AFF" w14:textId="4BE305F0" w:rsidR="00190D89" w:rsidRPr="005C082A" w:rsidRDefault="00190D89" w:rsidP="00190D89">
      <w:pPr>
        <w:spacing w:after="0"/>
        <w:ind w:firstLine="567"/>
        <w:rPr>
          <w:szCs w:val="24"/>
          <w:lang w:val="hy-AM"/>
        </w:rPr>
      </w:pPr>
      <w:r w:rsidRPr="005C082A">
        <w:rPr>
          <w:szCs w:val="24"/>
          <w:lang w:val="hy-AM"/>
        </w:rPr>
        <w:t>բ</w:t>
      </w:r>
      <w:r w:rsidR="00B501DB" w:rsidRPr="005C082A">
        <w:rPr>
          <w:szCs w:val="24"/>
          <w:lang w:val="hy-AM"/>
        </w:rPr>
        <w:t>)</w:t>
      </w:r>
      <w:r w:rsidR="00B501DB" w:rsidRPr="005C082A">
        <w:rPr>
          <w:rFonts w:ascii="Calibri" w:hAnsi="Calibri" w:cs="Calibri"/>
          <w:szCs w:val="24"/>
          <w:lang w:val="hy-AM"/>
        </w:rPr>
        <w:t> </w:t>
      </w:r>
      <w:r w:rsidRPr="005C082A">
        <w:rPr>
          <w:szCs w:val="24"/>
          <w:lang w:val="hy-AM"/>
        </w:rPr>
        <w:t xml:space="preserve">կհիմնավորվի երկարաձգման ժամկետը (օրերը) համապատասխան հաշվարկներով և աշխատանքների կատարման օրացուցային ժամանակացույցով։ </w:t>
      </w:r>
    </w:p>
    <w:p w14:paraId="11736A94" w14:textId="352D1ACD"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Աշխատանքների առանձին տեսակների ծավալների փոփոխու</w:t>
      </w:r>
      <w:r w:rsidR="00560DE2" w:rsidRPr="005C082A">
        <w:rPr>
          <w:rFonts w:ascii="GHEA Grapalat" w:eastAsia="SimSun" w:hAnsi="GHEA Grapalat" w:cs="Times New Roman"/>
          <w:sz w:val="24"/>
          <w:szCs w:val="24"/>
          <w:lang w:val="hy-AM"/>
        </w:rPr>
        <w:t>թյուն</w:t>
      </w:r>
      <w:r w:rsidR="00483CC5" w:rsidRPr="005C082A">
        <w:rPr>
          <w:rFonts w:ascii="GHEA Grapalat" w:eastAsia="SimSun" w:hAnsi="GHEA Grapalat" w:cs="Times New Roman"/>
          <w:sz w:val="24"/>
          <w:szCs w:val="24"/>
          <w:lang w:val="hy-AM"/>
        </w:rPr>
        <w:t>, աշխատանքների մեկը մյուսով փոխարինում</w:t>
      </w:r>
      <w:r w:rsidRPr="005C082A">
        <w:rPr>
          <w:rFonts w:ascii="GHEA Grapalat" w:eastAsia="SimSun" w:hAnsi="GHEA Grapalat" w:cs="Times New Roman"/>
          <w:sz w:val="24"/>
          <w:szCs w:val="24"/>
          <w:lang w:val="hy-AM"/>
        </w:rPr>
        <w:t xml:space="preserve"> և/կամ նոր աշխատանքներ</w:t>
      </w:r>
      <w:r w:rsidR="00560DE2" w:rsidRPr="005C082A">
        <w:rPr>
          <w:rFonts w:ascii="GHEA Grapalat" w:eastAsia="SimSun" w:hAnsi="GHEA Grapalat" w:cs="Times New Roman"/>
          <w:sz w:val="24"/>
          <w:szCs w:val="24"/>
          <w:lang w:val="hy-AM"/>
        </w:rPr>
        <w:t xml:space="preserve">ի ավալացում կատարել </w:t>
      </w:r>
      <w:r w:rsidR="00483CC5" w:rsidRPr="005C082A">
        <w:rPr>
          <w:rFonts w:ascii="GHEA Grapalat" w:eastAsia="SimSun" w:hAnsi="GHEA Grapalat" w:cs="Times New Roman"/>
          <w:sz w:val="24"/>
          <w:szCs w:val="24"/>
          <w:lang w:val="hy-AM"/>
        </w:rPr>
        <w:t>միայն</w:t>
      </w:r>
      <w:r w:rsidRPr="005C082A">
        <w:rPr>
          <w:rFonts w:ascii="Calibri" w:hAnsi="Calibri" w:cs="Calibri"/>
          <w:color w:val="000000"/>
          <w:sz w:val="24"/>
          <w:szCs w:val="24"/>
          <w:shd w:val="clear" w:color="auto" w:fill="FFFFFF"/>
          <w:lang w:val="hy-AM"/>
        </w:rPr>
        <w:t> </w:t>
      </w:r>
      <w:r w:rsidRPr="005C082A">
        <w:rPr>
          <w:rFonts w:ascii="GHEA Grapalat" w:hAnsi="GHEA Grapalat"/>
          <w:color w:val="000000"/>
          <w:sz w:val="24"/>
          <w:szCs w:val="24"/>
          <w:shd w:val="clear" w:color="auto" w:fill="FFFFFF"/>
          <w:lang w:val="hy-AM"/>
        </w:rPr>
        <w:t>մասնագիտական եզրակացությ</w:t>
      </w:r>
      <w:r w:rsidR="00483CC5" w:rsidRPr="005C082A">
        <w:rPr>
          <w:rFonts w:ascii="GHEA Grapalat" w:hAnsi="GHEA Grapalat"/>
          <w:color w:val="000000"/>
          <w:sz w:val="24"/>
          <w:szCs w:val="24"/>
          <w:shd w:val="clear" w:color="auto" w:fill="FFFFFF"/>
          <w:lang w:val="hy-AM"/>
        </w:rPr>
        <w:t>ան</w:t>
      </w:r>
      <w:r w:rsidRPr="005C082A">
        <w:rPr>
          <w:rFonts w:ascii="GHEA Grapalat" w:hAnsi="GHEA Grapalat"/>
          <w:color w:val="000000"/>
          <w:sz w:val="24"/>
          <w:szCs w:val="24"/>
          <w:shd w:val="clear" w:color="auto" w:fill="FFFFFF"/>
          <w:lang w:val="hy-AM"/>
        </w:rPr>
        <w:t xml:space="preserve"> </w:t>
      </w:r>
      <w:r w:rsidR="00483CC5" w:rsidRPr="005C082A">
        <w:rPr>
          <w:rFonts w:ascii="GHEA Grapalat" w:hAnsi="GHEA Grapalat"/>
          <w:color w:val="000000"/>
          <w:sz w:val="24"/>
          <w:szCs w:val="24"/>
          <w:shd w:val="clear" w:color="auto" w:fill="FFFFFF"/>
          <w:lang w:val="hy-AM"/>
        </w:rPr>
        <w:t>առկայության դեպքում</w:t>
      </w:r>
      <w:r w:rsidRPr="005C082A">
        <w:rPr>
          <w:rFonts w:ascii="GHEA Grapalat" w:hAnsi="GHEA Grapalat"/>
          <w:color w:val="000000"/>
          <w:sz w:val="24"/>
          <w:szCs w:val="24"/>
          <w:shd w:val="clear" w:color="auto" w:fill="FFFFFF"/>
          <w:lang w:val="hy-AM"/>
        </w:rPr>
        <w:t>,</w:t>
      </w:r>
      <w:r w:rsidR="00483CC5" w:rsidRPr="005C082A">
        <w:rPr>
          <w:rFonts w:ascii="GHEA Grapalat" w:hAnsi="GHEA Grapalat"/>
          <w:color w:val="000000"/>
          <w:sz w:val="24"/>
          <w:szCs w:val="24"/>
          <w:shd w:val="clear" w:color="auto" w:fill="FFFFFF"/>
          <w:lang w:val="hy-AM"/>
        </w:rPr>
        <w:t xml:space="preserve"> առ այն</w:t>
      </w:r>
      <w:r w:rsidRPr="00650A93">
        <w:rPr>
          <w:rFonts w:ascii="GHEA Grapalat" w:hAnsi="GHEA Grapalat"/>
          <w:color w:val="000000"/>
          <w:sz w:val="21"/>
          <w:szCs w:val="21"/>
          <w:shd w:val="clear" w:color="auto" w:fill="FFFFFF"/>
          <w:lang w:val="hy-AM"/>
        </w:rPr>
        <w:t xml:space="preserve"> </w:t>
      </w:r>
      <w:r w:rsidRPr="003810E9">
        <w:rPr>
          <w:rFonts w:ascii="GHEA Grapalat" w:hAnsi="GHEA Grapalat"/>
          <w:color w:val="000000"/>
          <w:sz w:val="24"/>
          <w:szCs w:val="24"/>
          <w:shd w:val="clear" w:color="auto" w:fill="FFFFFF"/>
          <w:lang w:val="hy-AM"/>
        </w:rPr>
        <w:t>որ</w:t>
      </w:r>
      <w:r w:rsidRPr="005C082A">
        <w:rPr>
          <w:rFonts w:ascii="GHEA Grapalat" w:hAnsi="GHEA Grapalat"/>
          <w:color w:val="000000"/>
          <w:sz w:val="24"/>
          <w:szCs w:val="24"/>
          <w:shd w:val="clear" w:color="auto" w:fill="FFFFFF"/>
          <w:lang w:val="hy-AM"/>
        </w:rPr>
        <w:t xml:space="preserve"> փոխարինումը հանգեցնում է պայմանագրի արդյունավետ իրականացմանը</w:t>
      </w:r>
      <w:r w:rsidR="00483CC5" w:rsidRPr="005C082A">
        <w:rPr>
          <w:rFonts w:ascii="GHEA Grapalat" w:hAnsi="GHEA Grapalat"/>
          <w:color w:val="000000"/>
          <w:sz w:val="24"/>
          <w:szCs w:val="24"/>
          <w:shd w:val="clear" w:color="auto" w:fill="FFFFFF"/>
          <w:lang w:val="hy-AM"/>
        </w:rPr>
        <w:t>։</w:t>
      </w:r>
      <w:r w:rsidR="00BF21DB" w:rsidRPr="005C082A">
        <w:rPr>
          <w:rFonts w:ascii="GHEA Grapalat" w:hAnsi="GHEA Grapalat"/>
          <w:color w:val="000000"/>
          <w:sz w:val="24"/>
          <w:szCs w:val="24"/>
          <w:shd w:val="clear" w:color="auto" w:fill="FFFFFF"/>
          <w:lang w:val="hy-AM"/>
        </w:rPr>
        <w:t xml:space="preserve"> </w:t>
      </w:r>
      <w:r w:rsidR="005F4A1B" w:rsidRPr="005C082A">
        <w:rPr>
          <w:rFonts w:ascii="GHEA Grapalat" w:hAnsi="GHEA Grapalat"/>
          <w:color w:val="000000"/>
          <w:sz w:val="24"/>
          <w:szCs w:val="24"/>
          <w:shd w:val="clear" w:color="auto" w:fill="FFFFFF"/>
          <w:lang w:val="hy-AM"/>
        </w:rPr>
        <w:t xml:space="preserve">Որպես </w:t>
      </w:r>
      <w:r w:rsidR="00BF21DB" w:rsidRPr="005C082A">
        <w:rPr>
          <w:rFonts w:ascii="GHEA Grapalat" w:hAnsi="GHEA Grapalat"/>
          <w:color w:val="000000"/>
          <w:sz w:val="24"/>
          <w:szCs w:val="24"/>
          <w:shd w:val="clear" w:color="auto" w:fill="FFFFFF"/>
          <w:lang w:val="hy-AM"/>
        </w:rPr>
        <w:t xml:space="preserve">Պայմանագրի արդյունավետ իրականացման </w:t>
      </w:r>
      <w:r w:rsidR="005F4A1B" w:rsidRPr="005C082A">
        <w:rPr>
          <w:rFonts w:ascii="GHEA Grapalat" w:hAnsi="GHEA Grapalat"/>
          <w:color w:val="000000"/>
          <w:sz w:val="24"/>
          <w:szCs w:val="24"/>
          <w:shd w:val="clear" w:color="auto" w:fill="FFFFFF"/>
          <w:lang w:val="hy-AM"/>
        </w:rPr>
        <w:t xml:space="preserve">չափանիշ </w:t>
      </w:r>
      <w:r w:rsidR="00BF21DB" w:rsidRPr="005C082A">
        <w:rPr>
          <w:rFonts w:ascii="GHEA Grapalat" w:hAnsi="GHEA Grapalat"/>
          <w:color w:val="000000"/>
          <w:sz w:val="24"/>
          <w:szCs w:val="24"/>
          <w:shd w:val="clear" w:color="auto" w:fill="FFFFFF"/>
          <w:lang w:val="hy-AM"/>
        </w:rPr>
        <w:t xml:space="preserve">սահմանել </w:t>
      </w:r>
      <w:r w:rsidR="005F4A1B" w:rsidRPr="005C082A">
        <w:rPr>
          <w:rFonts w:ascii="GHEA Grapalat" w:hAnsi="GHEA Grapalat"/>
          <w:color w:val="000000"/>
          <w:sz w:val="24"/>
          <w:szCs w:val="24"/>
          <w:shd w:val="clear" w:color="auto" w:fill="FFFFFF"/>
          <w:lang w:val="hy-AM"/>
        </w:rPr>
        <w:t xml:space="preserve">նաև </w:t>
      </w:r>
      <w:r w:rsidR="00BF21DB" w:rsidRPr="005C082A">
        <w:rPr>
          <w:rFonts w:ascii="GHEA Grapalat" w:hAnsi="GHEA Grapalat"/>
          <w:color w:val="000000"/>
          <w:sz w:val="24"/>
          <w:szCs w:val="24"/>
          <w:shd w:val="clear" w:color="auto" w:fill="FFFFFF"/>
          <w:lang w:val="hy-AM"/>
        </w:rPr>
        <w:t xml:space="preserve">ավելացվող և/կամ նվազեցվող աշխատանքների պայմանագրային միավոր գների և </w:t>
      </w:r>
      <w:r w:rsidR="00BF21DB" w:rsidRPr="005C082A">
        <w:rPr>
          <w:rFonts w:ascii="GHEA Grapalat" w:hAnsi="GHEA Grapalat"/>
          <w:sz w:val="24"/>
          <w:szCs w:val="24"/>
          <w:lang w:val="hy-AM"/>
        </w:rPr>
        <w:t xml:space="preserve">ՀՀ կառավարության </w:t>
      </w:r>
      <w:r w:rsidR="00BF21DB" w:rsidRPr="005C082A">
        <w:rPr>
          <w:rFonts w:ascii="GHEA Grapalat" w:hAnsi="GHEA Grapalat"/>
          <w:color w:val="000000"/>
          <w:sz w:val="24"/>
          <w:szCs w:val="24"/>
          <w:shd w:val="clear" w:color="auto" w:fill="FFFFFF"/>
          <w:lang w:val="hy-AM"/>
        </w:rPr>
        <w:t>23</w:t>
      </w:r>
      <w:r w:rsidR="00BF21DB" w:rsidRPr="005C082A">
        <w:rPr>
          <w:rFonts w:ascii="Calibri" w:hAnsi="Calibri" w:cs="Calibri"/>
          <w:color w:val="000000"/>
          <w:sz w:val="24"/>
          <w:szCs w:val="24"/>
          <w:shd w:val="clear" w:color="auto" w:fill="FFFFFF"/>
          <w:lang w:val="hy-AM"/>
        </w:rPr>
        <w:t> </w:t>
      </w:r>
      <w:r w:rsidR="00BF21DB" w:rsidRPr="005C082A">
        <w:rPr>
          <w:rFonts w:ascii="GHEA Grapalat" w:hAnsi="GHEA Grapalat"/>
          <w:color w:val="000000"/>
          <w:sz w:val="24"/>
          <w:szCs w:val="24"/>
          <w:shd w:val="clear" w:color="auto" w:fill="FFFFFF"/>
          <w:lang w:val="hy-AM"/>
        </w:rPr>
        <w:t>հունիսի 2011 թվականի N 879-Ն որոշմամբ հաստատված «Գործող գներով շինարարական աշխատանքների արժեքի հաշվարկման կարգ»-ով ստացվող նախահաշվային միավոր արժեքների համարժեքությունը, հաշվի առած ընդհանուր պայմանագրային գնի և նախահաշվային արժեքի հարաբերակցությունը։</w:t>
      </w:r>
    </w:p>
    <w:p w14:paraId="0367E378" w14:textId="4A04AC15" w:rsidR="00683DFD" w:rsidRPr="005C082A" w:rsidRDefault="00683DFD"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lastRenderedPageBreak/>
        <w:t xml:space="preserve">Ներքին իրավական ակտով սահմանել ծրագրերի իրականացման ընթացքում ի հայտ եկած խնդիրների լուծման վերաբերյալ Պատվիրատուի կողմից որոշումներ կայացնելու </w:t>
      </w:r>
      <w:r w:rsidR="007A41AD" w:rsidRPr="00650A93">
        <w:rPr>
          <w:rFonts w:ascii="GHEA Grapalat" w:eastAsia="SimSun" w:hAnsi="GHEA Grapalat" w:cs="Times New Roman"/>
          <w:sz w:val="24"/>
          <w:szCs w:val="24"/>
          <w:lang w:val="hy-AM"/>
        </w:rPr>
        <w:t xml:space="preserve">կարգը և </w:t>
      </w:r>
      <w:r w:rsidRPr="005C082A">
        <w:rPr>
          <w:rFonts w:ascii="GHEA Grapalat" w:eastAsia="SimSun" w:hAnsi="GHEA Grapalat" w:cs="Times New Roman"/>
          <w:sz w:val="24"/>
          <w:szCs w:val="24"/>
          <w:lang w:val="hy-AM"/>
        </w:rPr>
        <w:t>առավելագույն ողջամիտ ժամկետը</w:t>
      </w:r>
      <w:r w:rsidRPr="003810E9">
        <w:rPr>
          <w:rFonts w:ascii="GHEA Grapalat" w:eastAsia="SimSun" w:hAnsi="GHEA Grapalat" w:cs="Times New Roman"/>
          <w:sz w:val="24"/>
          <w:szCs w:val="24"/>
          <w:lang w:val="hy-AM"/>
        </w:rPr>
        <w:t>։</w:t>
      </w:r>
      <w:r w:rsidRPr="005C082A">
        <w:rPr>
          <w:rFonts w:ascii="GHEA Grapalat" w:eastAsia="SimSun" w:hAnsi="GHEA Grapalat" w:cs="Times New Roman"/>
          <w:sz w:val="24"/>
          <w:szCs w:val="24"/>
          <w:lang w:val="hy-AM"/>
        </w:rPr>
        <w:t xml:space="preserve"> </w:t>
      </w:r>
    </w:p>
    <w:p w14:paraId="416840FD" w14:textId="77777777" w:rsidR="00683DFD" w:rsidRPr="005C082A" w:rsidRDefault="00683DFD"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Ապահովել բոլոր փաստաթղթերի՝ այդ թվում պայմանագրերի, համաձայնագրերի, ուղեցույցների, ձեռնարկների և ողջ փաստաթղթաշրջանառության հայերեն թարգմանությունները։</w:t>
      </w:r>
    </w:p>
    <w:p w14:paraId="33B264D9" w14:textId="77777777" w:rsidR="00190D89" w:rsidRPr="005C082A" w:rsidRDefault="00190D89" w:rsidP="00B501DB">
      <w:pPr>
        <w:pStyle w:val="ListParagraph"/>
        <w:numPr>
          <w:ilvl w:val="0"/>
          <w:numId w:val="32"/>
        </w:numPr>
        <w:spacing w:after="0"/>
        <w:ind w:left="0" w:firstLine="426"/>
        <w:jc w:val="both"/>
        <w:rPr>
          <w:rFonts w:ascii="GHEA Grapalat" w:eastAsia="SimSun" w:hAnsi="GHEA Grapalat" w:cs="Times New Roman"/>
          <w:sz w:val="24"/>
          <w:szCs w:val="24"/>
          <w:lang w:val="hy-AM"/>
        </w:rPr>
      </w:pPr>
      <w:r w:rsidRPr="005C082A">
        <w:rPr>
          <w:rFonts w:ascii="GHEA Grapalat" w:eastAsia="SimSun" w:hAnsi="GHEA Grapalat" w:cs="Times New Roman"/>
          <w:sz w:val="24"/>
          <w:szCs w:val="24"/>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0A9E91A6" w14:textId="77777777" w:rsidR="00AC7646" w:rsidRPr="00650A93" w:rsidRDefault="00AC7646" w:rsidP="00AC7646">
      <w:pPr>
        <w:pStyle w:val="ListParagraph"/>
        <w:spacing w:after="0" w:line="360" w:lineRule="auto"/>
        <w:ind w:left="1212"/>
        <w:rPr>
          <w:rFonts w:ascii="GHEA Grapalat" w:eastAsia="MS Mincho" w:hAnsi="GHEA Grapalat" w:cs="Arial"/>
          <w:szCs w:val="24"/>
          <w:lang w:val="hy-AM"/>
        </w:rPr>
      </w:pPr>
    </w:p>
    <w:sectPr w:rsidR="00AC7646" w:rsidRPr="00650A93" w:rsidSect="000D41BE">
      <w:footerReference w:type="default" r:id="rId12"/>
      <w:headerReference w:type="first" r:id="rId13"/>
      <w:pgSz w:w="11906" w:h="16838"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4FA60" w14:textId="77777777" w:rsidR="003E5457" w:rsidRDefault="003E5457">
      <w:pPr>
        <w:spacing w:before="0" w:after="0" w:line="240" w:lineRule="auto"/>
      </w:pPr>
      <w:r>
        <w:separator/>
      </w:r>
    </w:p>
  </w:endnote>
  <w:endnote w:type="continuationSeparator" w:id="0">
    <w:p w14:paraId="2BDFFC0B" w14:textId="77777777" w:rsidR="003E5457" w:rsidRDefault="003E54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CC"/>
    <w:family w:val="swiss"/>
    <w:pitch w:val="variable"/>
    <w:sig w:usb0="00000287" w:usb1="00000000" w:usb2="00000000" w:usb3="00000000" w:csb0="0000009F" w:csb1="00000000"/>
  </w:font>
  <w:font w:name="Calibri,Bold">
    <w:panose1 w:val="00000000000000000000"/>
    <w:charset w:val="CC"/>
    <w:family w:val="auto"/>
    <w:notTrueType/>
    <w:pitch w:val="default"/>
    <w:sig w:usb0="00000201" w:usb1="00000000" w:usb2="00000000" w:usb3="00000000" w:csb0="00000004"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DBFA" w14:textId="77777777" w:rsidR="00AE77DF" w:rsidRPr="0029551B" w:rsidRDefault="00AE77DF" w:rsidP="00A03951">
    <w:pPr>
      <w:pStyle w:val="Footer"/>
      <w:ind w:firstLine="0"/>
      <w:jc w:val="left"/>
    </w:pPr>
    <w:r>
      <w:rPr>
        <w:noProof/>
        <w:lang w:eastAsia="en-US"/>
      </w:rPr>
      <mc:AlternateContent>
        <mc:Choice Requires="wpg">
          <w:drawing>
            <wp:anchor distT="0" distB="0" distL="114300" distR="114300" simplePos="0" relativeHeight="251660288" behindDoc="0" locked="0" layoutInCell="1" allowOverlap="1" wp14:anchorId="4E261073" wp14:editId="2551F6B4">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426B3" w14:textId="77777777" w:rsidR="00AE77DF" w:rsidRDefault="00AE77DF">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AE77DF" w:rsidRPr="00244BF4" w:rsidRDefault="00AE77DF">
                            <w:pPr>
                              <w:pStyle w:val="Footer"/>
                              <w:tabs>
                                <w:tab w:val="clear" w:pos="4677"/>
                                <w:tab w:val="clear" w:pos="9355"/>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261073"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8F426B3" w14:textId="77777777" w:rsidR="00AE77DF" w:rsidRDefault="00AE77DF">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AE77DF" w:rsidRPr="00244BF4" w:rsidRDefault="00AE77DF">
                      <w:pPr>
                        <w:pStyle w:val="Footer"/>
                        <w:tabs>
                          <w:tab w:val="clear" w:pos="4677"/>
                          <w:tab w:val="clear" w:pos="9355"/>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D30B" w14:textId="77777777" w:rsidR="00AE77DF" w:rsidRDefault="00AE77DF">
    <w:pPr>
      <w:pStyle w:val="Footer"/>
      <w:jc w:val="right"/>
    </w:pPr>
  </w:p>
  <w:p w14:paraId="1CBD1CCC" w14:textId="77777777" w:rsidR="00AE77DF" w:rsidRDefault="00AE77D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2AF7" w14:textId="77777777" w:rsidR="003E5457" w:rsidRDefault="003E5457">
      <w:pPr>
        <w:spacing w:before="0" w:after="0" w:line="240" w:lineRule="auto"/>
      </w:pPr>
      <w:r>
        <w:separator/>
      </w:r>
    </w:p>
  </w:footnote>
  <w:footnote w:type="continuationSeparator" w:id="0">
    <w:p w14:paraId="7359C1FA" w14:textId="77777777" w:rsidR="003E5457" w:rsidRDefault="003E5457">
      <w:pPr>
        <w:spacing w:before="0" w:after="0" w:line="240" w:lineRule="auto"/>
      </w:pPr>
      <w:r>
        <w:continuationSeparator/>
      </w:r>
    </w:p>
  </w:footnote>
  <w:footnote w:id="1">
    <w:p w14:paraId="088AE2D1" w14:textId="77777777" w:rsidR="00AE77DF" w:rsidRPr="00A90B93" w:rsidRDefault="00AE77DF" w:rsidP="009E2940">
      <w:pPr>
        <w:tabs>
          <w:tab w:val="left" w:pos="720"/>
        </w:tabs>
        <w:spacing w:after="360"/>
        <w:rPr>
          <w:b/>
          <w:szCs w:val="24"/>
          <w:lang w:val="hy-AM"/>
        </w:rPr>
      </w:pPr>
      <w:r>
        <w:rPr>
          <w:rStyle w:val="FootnoteReference"/>
        </w:rPr>
        <w:footnoteRef/>
      </w:r>
      <w:r>
        <w:t xml:space="preserve"> </w:t>
      </w:r>
      <w:r w:rsidRPr="00B57319">
        <w:rPr>
          <w:rFonts w:ascii="Calibri" w:eastAsia="Times New Roman" w:hAnsi="Calibri" w:cs="Calibri"/>
          <w:color w:val="000000"/>
          <w:sz w:val="18"/>
          <w:szCs w:val="18"/>
        </w:rPr>
        <w:t>Ասիական զարգացման բանկի աջակցությամբ իրականացվող Մ-6 Վանաձոր-Ալավերդի-Վրաստանի սահման միջպետական նշանակության ճանապարհի վերականգնման և բարելավման ծրագրի հիմնական ծավալներեն իրականացվել են 2021թ-ին և այն համապատասխանության և ֆինանսական հաշվեքննության է ենթարկվել ՀՀ տարածքային կառավարման և ենթակառուցվածքների նախարարությունում 2021թ պետական բյուջեի կատարման հաշվեքննության շրջանակներում։</w:t>
      </w:r>
    </w:p>
    <w:p w14:paraId="532C1D27" w14:textId="77777777" w:rsidR="00AE77DF" w:rsidRPr="00C16A5B" w:rsidRDefault="00AE77DF" w:rsidP="009E2940">
      <w:pPr>
        <w:pStyle w:val="FootnoteText"/>
        <w:rPr>
          <w:lang w:val="en-GB"/>
        </w:rPr>
      </w:pPr>
    </w:p>
  </w:footnote>
  <w:footnote w:id="2">
    <w:p w14:paraId="7E3F3696" w14:textId="475DA05F" w:rsidR="00AE77DF" w:rsidRPr="00A87568" w:rsidRDefault="00AE77DF">
      <w:pPr>
        <w:pStyle w:val="FootnoteText"/>
        <w:rPr>
          <w:lang w:val="en-GB"/>
        </w:rPr>
      </w:pPr>
      <w:r>
        <w:rPr>
          <w:rStyle w:val="FootnoteReference"/>
        </w:rPr>
        <w:footnoteRef/>
      </w:r>
      <w:r>
        <w:t xml:space="preserve"> </w:t>
      </w:r>
      <w:r>
        <w:rPr>
          <w:lang w:val="en-GB"/>
        </w:rPr>
        <w:t>Փոփոխությունների արդյունքում կազմված փաստաթուղթ՝ հաստատված Պատվիրատուի, Կապալառուի և Խորհրդատուի (տեխնիկական հսկիչի) կողմից, որտեղ արտացոլված են ավելացված և նվազեցված աշխատանքների ծավալները և/կամ միավոր գները, փոփոխության արդյունքում պայմանագրային գնի փոփոխության ընդհանուր գումարը և նոր պայմանագրային գինը։</w:t>
      </w:r>
    </w:p>
  </w:footnote>
  <w:footnote w:id="3">
    <w:p w14:paraId="6C7012B8" w14:textId="59656AFD" w:rsidR="00AE77DF" w:rsidRPr="00A87568" w:rsidRDefault="00AE77DF">
      <w:pPr>
        <w:pStyle w:val="FootnoteText"/>
        <w:rPr>
          <w:lang w:val="en-GB"/>
        </w:rPr>
      </w:pPr>
      <w:r>
        <w:rPr>
          <w:rStyle w:val="FootnoteReference"/>
        </w:rPr>
        <w:footnoteRef/>
      </w:r>
      <w:r>
        <w:t xml:space="preserve"> </w:t>
      </w:r>
      <w:r>
        <w:rPr>
          <w:lang w:val="en-GB"/>
        </w:rPr>
        <w:t>Ծրագրի ղեկավարը այն անձն է ում անունը նշվում է ՊՀՊ-ում և պատասխանատու է կատարված աշխատանքների վերահսկման և Ծրագրի կատաման համար։ ՊՀՊ-ում նշվել են պատվիրատուի համապատասխան ինժեներների անունները։</w:t>
      </w:r>
    </w:p>
  </w:footnote>
  <w:footnote w:id="4">
    <w:p w14:paraId="507155C2" w14:textId="5DD53B53" w:rsidR="00AE77DF" w:rsidRPr="00A87568" w:rsidRDefault="00AE77DF">
      <w:pPr>
        <w:pStyle w:val="FootnoteText"/>
        <w:rPr>
          <w:lang w:val="en-GB"/>
        </w:rPr>
      </w:pPr>
      <w:r>
        <w:rPr>
          <w:rStyle w:val="FootnoteReference"/>
        </w:rPr>
        <w:footnoteRef/>
      </w:r>
      <w:r>
        <w:t xml:space="preserve"> Ծախսը հիմնավորող՝ </w:t>
      </w:r>
      <w:r>
        <w:rPr>
          <w:lang w:val="en-GB"/>
        </w:rPr>
        <w:t xml:space="preserve">փաստացի կատարված աշխատանքների վերաբերյալ </w:t>
      </w:r>
      <w:proofErr w:type="gramStart"/>
      <w:r>
        <w:rPr>
          <w:lang w:val="en-GB"/>
        </w:rPr>
        <w:t>փաստաթուղթ  (</w:t>
      </w:r>
      <w:proofErr w:type="gramEnd"/>
      <w:r>
        <w:rPr>
          <w:lang w:val="en-GB"/>
        </w:rPr>
        <w:t>կատարողական ակտի բովանդակությանը համապատասխանող փաստաթուղթ)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A8EA" w14:textId="77777777" w:rsidR="00AE77DF" w:rsidRPr="001D0D41" w:rsidRDefault="00AE77DF" w:rsidP="001D0D41">
    <w:pPr>
      <w:pStyle w:val="Header"/>
      <w:ind w:firstLine="0"/>
    </w:pPr>
    <w:r>
      <w:rPr>
        <w:noProof/>
        <w:lang w:eastAsia="en-US"/>
      </w:rPr>
      <mc:AlternateContent>
        <mc:Choice Requires="wps">
          <w:drawing>
            <wp:anchor distT="228600" distB="228600" distL="114300" distR="114300" simplePos="0" relativeHeight="251659264" behindDoc="0" locked="0" layoutInCell="1" allowOverlap="0" wp14:anchorId="22B15860" wp14:editId="089819E5">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94526F3" w14:textId="77777777" w:rsidR="00AE77DF" w:rsidRPr="00244BF4" w:rsidRDefault="00AE77DF" w:rsidP="00A03951">
                          <w:pPr>
                            <w:pStyle w:val="Header"/>
                            <w:tabs>
                              <w:tab w:val="clear" w:pos="4680"/>
                              <w:tab w:val="clear" w:pos="9360"/>
                            </w:tabs>
                            <w:ind w:firstLine="0"/>
                            <w:jc w:val="right"/>
                            <w:rPr>
                              <w:color w:val="FFFFFF"/>
                              <w:sz w:val="40"/>
                              <w:szCs w:val="24"/>
                            </w:rPr>
                          </w:pPr>
                        </w:p>
                        <w:p w14:paraId="2CF3F7E5" w14:textId="11F362A5" w:rsidR="00AE77DF" w:rsidRPr="00F9391C" w:rsidRDefault="00AE77DF" w:rsidP="00A03951">
                          <w:pPr>
                            <w:pStyle w:val="Header"/>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341FAD" w:rsidRPr="00341FAD">
                            <w:rPr>
                              <w:noProof/>
                              <w:color w:val="FFFFFF"/>
                              <w:sz w:val="24"/>
                              <w:szCs w:val="24"/>
                              <w:lang w:val="ru-RU"/>
                            </w:rPr>
                            <w:t>20</w:t>
                          </w:r>
                          <w:r w:rsidRPr="00CF488F">
                            <w:rPr>
                              <w:color w:val="FFFFFF"/>
                              <w:sz w:val="24"/>
                              <w:szCs w:val="24"/>
                              <w:lang w:val="hy-AM"/>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2B15860" id="Rectangle 5" o:spid="_x0000_s1026" style="position:absolute;left:0;text-align:left;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394526F3" w14:textId="77777777" w:rsidR="00AE77DF" w:rsidRPr="00244BF4" w:rsidRDefault="00AE77DF" w:rsidP="00A03951">
                    <w:pPr>
                      <w:pStyle w:val="Header"/>
                      <w:tabs>
                        <w:tab w:val="clear" w:pos="4680"/>
                        <w:tab w:val="clear" w:pos="9360"/>
                      </w:tabs>
                      <w:ind w:firstLine="0"/>
                      <w:jc w:val="right"/>
                      <w:rPr>
                        <w:color w:val="FFFFFF"/>
                        <w:sz w:val="40"/>
                        <w:szCs w:val="24"/>
                      </w:rPr>
                    </w:pPr>
                  </w:p>
                  <w:p w14:paraId="2CF3F7E5" w14:textId="11F362A5" w:rsidR="00AE77DF" w:rsidRPr="00F9391C" w:rsidRDefault="00AE77DF" w:rsidP="00A03951">
                    <w:pPr>
                      <w:pStyle w:val="Header"/>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341FAD" w:rsidRPr="00341FAD">
                      <w:rPr>
                        <w:noProof/>
                        <w:color w:val="FFFFFF"/>
                        <w:sz w:val="24"/>
                        <w:szCs w:val="24"/>
                        <w:lang w:val="ru-RU"/>
                      </w:rPr>
                      <w:t>20</w:t>
                    </w:r>
                    <w:r w:rsidRPr="00CF488F">
                      <w:rPr>
                        <w:color w:val="FFFFFF"/>
                        <w:sz w:val="24"/>
                        <w:szCs w:val="24"/>
                        <w:lang w:val="hy-AM"/>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78F0" w14:textId="77777777" w:rsidR="00AE77DF" w:rsidRPr="00B625A1" w:rsidRDefault="00AE77DF" w:rsidP="00500EEE">
    <w:pPr>
      <w:tabs>
        <w:tab w:val="center" w:pos="4680"/>
        <w:tab w:val="right" w:pos="9360"/>
      </w:tabs>
      <w:spacing w:before="0" w:after="0" w:line="240" w:lineRule="auto"/>
      <w:ind w:firstLine="709"/>
      <w:jc w:val="right"/>
      <w:rPr>
        <w:i/>
        <w:sz w:val="20"/>
        <w:szCs w:val="20"/>
        <w:lang w:val="hy-AM" w:eastAsia="x-none"/>
      </w:rPr>
    </w:pPr>
    <w:r>
      <w:rPr>
        <w:i/>
        <w:lang w:val="ru-RU"/>
      </w:rPr>
      <w:tab/>
    </w:r>
    <w:r>
      <w:rPr>
        <w:i/>
        <w:lang w:val="ru-RU"/>
      </w:rPr>
      <w:tab/>
    </w:r>
    <w:r>
      <w:rPr>
        <w:i/>
        <w:lang w:val="ru-RU"/>
      </w:rPr>
      <w:tab/>
    </w:r>
    <w:r w:rsidRPr="00B625A1">
      <w:rPr>
        <w:i/>
        <w:sz w:val="20"/>
        <w:szCs w:val="20"/>
        <w:lang w:val="hy-AM" w:eastAsia="x-none"/>
      </w:rPr>
      <w:t>Հավելված</w:t>
    </w:r>
  </w:p>
  <w:p w14:paraId="44F752D9" w14:textId="77777777" w:rsidR="00AE77DF" w:rsidRPr="00B625A1" w:rsidRDefault="00AE77DF" w:rsidP="00500EEE">
    <w:pPr>
      <w:tabs>
        <w:tab w:val="center" w:pos="4680"/>
        <w:tab w:val="right" w:pos="9360"/>
      </w:tabs>
      <w:spacing w:before="0" w:after="0" w:line="240" w:lineRule="auto"/>
      <w:ind w:firstLine="709"/>
      <w:jc w:val="right"/>
      <w:rPr>
        <w:i/>
        <w:sz w:val="20"/>
        <w:szCs w:val="20"/>
        <w:lang w:val="hy-AM" w:eastAsia="x-none"/>
      </w:rPr>
    </w:pPr>
    <w:r w:rsidRPr="00B625A1">
      <w:rPr>
        <w:i/>
        <w:sz w:val="20"/>
        <w:szCs w:val="20"/>
        <w:lang w:val="hy-AM" w:eastAsia="x-none"/>
      </w:rPr>
      <w:t>ՀՀ հաշվեքննիչ պալատի</w:t>
    </w:r>
  </w:p>
  <w:p w14:paraId="5F32297E" w14:textId="222C9572" w:rsidR="00AE77DF" w:rsidRPr="00B625A1" w:rsidRDefault="00AE77DF" w:rsidP="00500EEE">
    <w:pPr>
      <w:tabs>
        <w:tab w:val="center" w:pos="4680"/>
        <w:tab w:val="right" w:pos="9360"/>
      </w:tabs>
      <w:spacing w:before="0" w:after="0" w:line="240" w:lineRule="auto"/>
      <w:ind w:firstLine="709"/>
      <w:jc w:val="right"/>
      <w:rPr>
        <w:i/>
        <w:sz w:val="20"/>
        <w:szCs w:val="20"/>
        <w:lang w:val="hy-AM" w:eastAsia="x-none"/>
      </w:rPr>
    </w:pPr>
    <w:r>
      <w:rPr>
        <w:i/>
        <w:sz w:val="20"/>
        <w:szCs w:val="20"/>
        <w:lang w:val="hy-AM" w:eastAsia="x-none"/>
      </w:rPr>
      <w:t>2023</w:t>
    </w:r>
    <w:r w:rsidRPr="00B625A1">
      <w:rPr>
        <w:i/>
        <w:sz w:val="20"/>
        <w:szCs w:val="20"/>
        <w:lang w:val="hy-AM" w:eastAsia="x-none"/>
      </w:rPr>
      <w:t>թ</w:t>
    </w:r>
    <w:r>
      <w:rPr>
        <w:i/>
        <w:sz w:val="20"/>
        <w:szCs w:val="20"/>
        <w:lang w:val="hy-AM" w:eastAsia="x-none"/>
      </w:rPr>
      <w:t xml:space="preserve">. </w:t>
    </w:r>
    <w:r w:rsidR="00FF16B1">
      <w:rPr>
        <w:i/>
        <w:sz w:val="20"/>
        <w:szCs w:val="20"/>
        <w:lang w:val="hy-AM" w:eastAsia="x-none"/>
      </w:rPr>
      <w:t>փետրվար</w:t>
    </w:r>
    <w:r>
      <w:rPr>
        <w:i/>
        <w:sz w:val="20"/>
        <w:szCs w:val="20"/>
        <w:lang w:val="hy-AM" w:eastAsia="x-none"/>
      </w:rPr>
      <w:t xml:space="preserve">ի </w:t>
    </w:r>
    <w:r w:rsidR="00341FAD">
      <w:rPr>
        <w:i/>
        <w:sz w:val="20"/>
        <w:szCs w:val="20"/>
        <w:lang w:val="hy-AM" w:eastAsia="x-none"/>
      </w:rPr>
      <w:t>28-</w:t>
    </w:r>
    <w:r>
      <w:rPr>
        <w:i/>
        <w:sz w:val="20"/>
        <w:szCs w:val="20"/>
        <w:lang w:val="hy-AM" w:eastAsia="x-none"/>
      </w:rPr>
      <w:t xml:space="preserve">ի </w:t>
    </w:r>
    <w:r w:rsidRPr="00B625A1">
      <w:rPr>
        <w:i/>
        <w:sz w:val="20"/>
        <w:szCs w:val="20"/>
        <w:lang w:val="hy-AM" w:eastAsia="x-none"/>
      </w:rPr>
      <w:t xml:space="preserve">թիվ </w:t>
    </w:r>
    <w:r w:rsidR="00341FAD">
      <w:rPr>
        <w:i/>
        <w:sz w:val="20"/>
        <w:szCs w:val="20"/>
        <w:lang w:val="hy-AM" w:eastAsia="x-none"/>
      </w:rPr>
      <w:t>32-Ա-2023</w:t>
    </w:r>
    <w:r w:rsidRPr="00B625A1">
      <w:rPr>
        <w:i/>
        <w:sz w:val="20"/>
        <w:szCs w:val="20"/>
        <w:lang w:val="hy-AM" w:eastAsia="x-none"/>
      </w:rPr>
      <w:t xml:space="preserve"> որոշման</w:t>
    </w:r>
  </w:p>
  <w:p w14:paraId="226EBEBC" w14:textId="77777777" w:rsidR="00AE77DF" w:rsidRPr="00B625A1" w:rsidRDefault="00AE77DF" w:rsidP="00500EEE">
    <w:pPr>
      <w:spacing w:before="0" w:after="0" w:line="240" w:lineRule="auto"/>
      <w:rPr>
        <w:rFonts w:cs="Sylfaen"/>
        <w:b/>
        <w:bCs/>
        <w:color w:val="000000"/>
        <w:sz w:val="32"/>
        <w:lang w:val="hy-AM"/>
      </w:rPr>
    </w:pPr>
  </w:p>
  <w:p w14:paraId="0D9804B9" w14:textId="77777777" w:rsidR="00AE77DF" w:rsidRPr="00C36AAF" w:rsidRDefault="00AE77DF" w:rsidP="00500EEE">
    <w:pPr>
      <w:pStyle w:val="Header"/>
      <w:tabs>
        <w:tab w:val="left" w:pos="1890"/>
        <w:tab w:val="right" w:pos="9298"/>
      </w:tabs>
      <w:spacing w:before="0"/>
      <w:ind w:firstLine="709"/>
      <w:jc w:val="right"/>
      <w:rPr>
        <w:i/>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A19" w14:textId="77777777" w:rsidR="00AE77DF" w:rsidRPr="00372188" w:rsidRDefault="00AE77DF" w:rsidP="003721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07"/>
    <w:multiLevelType w:val="hybridMultilevel"/>
    <w:tmpl w:val="23584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1DE7"/>
    <w:multiLevelType w:val="multilevel"/>
    <w:tmpl w:val="C38A21C0"/>
    <w:lvl w:ilvl="0">
      <w:start w:val="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1626B2"/>
    <w:multiLevelType w:val="multilevel"/>
    <w:tmpl w:val="617C6B3A"/>
    <w:lvl w:ilvl="0">
      <w:start w:val="5"/>
      <w:numFmt w:val="decimal"/>
      <w:pStyle w:val="Heading1"/>
      <w:lvlText w:val="%1."/>
      <w:lvlJc w:val="left"/>
      <w:pPr>
        <w:ind w:left="720" w:hanging="360"/>
      </w:pPr>
      <w:rPr>
        <w:rFonts w:hint="default"/>
        <w:sz w:val="28"/>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4317A1A"/>
    <w:multiLevelType w:val="multilevel"/>
    <w:tmpl w:val="F412F65A"/>
    <w:lvl w:ilvl="0">
      <w:start w:val="5"/>
      <w:numFmt w:val="decimal"/>
      <w:lvlText w:val="%1."/>
      <w:lvlJc w:val="left"/>
      <w:pPr>
        <w:ind w:left="384" w:hanging="384"/>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491554D"/>
    <w:multiLevelType w:val="multilevel"/>
    <w:tmpl w:val="CA42ED04"/>
    <w:lvl w:ilvl="0">
      <w:start w:val="1"/>
      <w:numFmt w:val="decimal"/>
      <w:lvlText w:val="%1."/>
      <w:lvlJc w:val="left"/>
      <w:pPr>
        <w:ind w:left="928" w:hanging="360"/>
      </w:pPr>
      <w:rPr>
        <w:rFonts w:ascii="GHEA Grapalat" w:hAnsi="GHEA Grapalat" w:hint="default"/>
        <w:b/>
        <w:sz w:val="28"/>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25DE7"/>
    <w:multiLevelType w:val="multilevel"/>
    <w:tmpl w:val="DE3094B0"/>
    <w:lvl w:ilvl="0">
      <w:start w:val="6"/>
      <w:numFmt w:val="decimal"/>
      <w:lvlText w:val="%1."/>
      <w:lvlJc w:val="left"/>
      <w:pPr>
        <w:ind w:left="360" w:hanging="360"/>
      </w:pPr>
      <w:rPr>
        <w:rFonts w:hint="default"/>
      </w:rPr>
    </w:lvl>
    <w:lvl w:ilvl="1">
      <w:start w:val="1"/>
      <w:numFmt w:val="decimal"/>
      <w:lvlText w:val="%1.%2."/>
      <w:lvlJc w:val="left"/>
      <w:pPr>
        <w:ind w:left="432" w:hanging="432"/>
      </w:pPr>
      <w:rPr>
        <w:rFonts w:ascii="GHEA Grapalat" w:hAnsi="GHEA Grapalat" w:hint="default"/>
        <w:sz w:val="24"/>
      </w:rPr>
    </w:lvl>
    <w:lvl w:ilvl="2">
      <w:start w:val="1"/>
      <w:numFmt w:val="decimal"/>
      <w:lvlText w:val="%1.%2.%3."/>
      <w:lvlJc w:val="left"/>
      <w:pPr>
        <w:ind w:left="1224" w:hanging="504"/>
      </w:pPr>
      <w:rPr>
        <w:rFonts w:ascii="GHEA Grapalat" w:hAnsi="GHEA Grapalat" w:hint="default"/>
        <w:sz w:val="24"/>
      </w:rPr>
    </w:lvl>
    <w:lvl w:ilvl="3">
      <w:start w:val="1"/>
      <w:numFmt w:val="decimal"/>
      <w:lvlText w:val="%1.%2.%3.%4."/>
      <w:lvlJc w:val="left"/>
      <w:pPr>
        <w:ind w:left="1216" w:hanging="648"/>
      </w:pPr>
      <w:rPr>
        <w:rFonts w:ascii="GHEA Grapalat" w:hAnsi="GHEA Grapalat"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D7E3D"/>
    <w:multiLevelType w:val="hybridMultilevel"/>
    <w:tmpl w:val="73DE6D4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4757388"/>
    <w:multiLevelType w:val="multilevel"/>
    <w:tmpl w:val="78969E48"/>
    <w:lvl w:ilvl="0">
      <w:start w:val="1"/>
      <w:numFmt w:val="decimal"/>
      <w:lvlText w:val="%1."/>
      <w:lvlJc w:val="left"/>
      <w:pPr>
        <w:ind w:left="1212" w:hanging="360"/>
      </w:pPr>
      <w:rPr>
        <w:rFonts w:ascii="GHEA Grapalat" w:hAnsi="GHEA Grapalat" w:hint="default"/>
        <w:b/>
        <w:sz w:val="24"/>
        <w:szCs w:val="24"/>
      </w:rPr>
    </w:lvl>
    <w:lvl w:ilvl="1">
      <w:start w:val="1"/>
      <w:numFmt w:val="decimal"/>
      <w:lvlText w:val="%1.%2."/>
      <w:lvlJc w:val="left"/>
      <w:pPr>
        <w:ind w:left="858"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46752"/>
    <w:multiLevelType w:val="hybridMultilevel"/>
    <w:tmpl w:val="8252E89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D181A"/>
    <w:multiLevelType w:val="multilevel"/>
    <w:tmpl w:val="659A6392"/>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EE78B3"/>
    <w:multiLevelType w:val="hybridMultilevel"/>
    <w:tmpl w:val="6BB4454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0213A45"/>
    <w:multiLevelType w:val="hybridMultilevel"/>
    <w:tmpl w:val="433A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475D3"/>
    <w:multiLevelType w:val="hybridMultilevel"/>
    <w:tmpl w:val="F8B60E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6652A45"/>
    <w:multiLevelType w:val="hybridMultilevel"/>
    <w:tmpl w:val="DA941E7E"/>
    <w:lvl w:ilvl="0" w:tplc="FE2A2546">
      <w:start w:val="3"/>
      <w:numFmt w:val="upperRoman"/>
      <w:lvlText w:val="%1."/>
      <w:lvlJc w:val="left"/>
      <w:pPr>
        <w:ind w:left="1080" w:hanging="720"/>
      </w:pPr>
      <w:rPr>
        <w:rFonts w:hint="default"/>
      </w:rPr>
    </w:lvl>
    <w:lvl w:ilvl="1" w:tplc="19EA8E0C">
      <w:start w:val="1"/>
      <w:numFmt w:val="decimal"/>
      <w:lvlText w:val="%2."/>
      <w:lvlJc w:val="left"/>
      <w:pPr>
        <w:ind w:left="1680" w:hanging="60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13956"/>
    <w:multiLevelType w:val="multilevel"/>
    <w:tmpl w:val="A3C4FE94"/>
    <w:lvl w:ilvl="0">
      <w:start w:val="4"/>
      <w:numFmt w:val="decimal"/>
      <w:lvlText w:val="%1."/>
      <w:lvlJc w:val="left"/>
      <w:pPr>
        <w:ind w:left="432" w:hanging="432"/>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2D2B0E"/>
    <w:multiLevelType w:val="multilevel"/>
    <w:tmpl w:val="A0183B6A"/>
    <w:lvl w:ilvl="0">
      <w:start w:val="1"/>
      <w:numFmt w:val="decimal"/>
      <w:lvlText w:val="%1"/>
      <w:lvlJc w:val="left"/>
      <w:pPr>
        <w:ind w:left="6372" w:hanging="432"/>
      </w:pPr>
      <w:rPr>
        <w:b/>
      </w:rPr>
    </w:lvl>
    <w:lvl w:ilvl="1">
      <w:start w:val="1"/>
      <w:numFmt w:val="decimal"/>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14A16A4"/>
    <w:multiLevelType w:val="multilevel"/>
    <w:tmpl w:val="704C7BE0"/>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3FB5FFA"/>
    <w:multiLevelType w:val="hybridMultilevel"/>
    <w:tmpl w:val="04245362"/>
    <w:lvl w:ilvl="0" w:tplc="846A4CBA">
      <w:start w:val="3"/>
      <w:numFmt w:val="bullet"/>
      <w:lvlText w:val="-"/>
      <w:lvlJc w:val="left"/>
      <w:pPr>
        <w:ind w:left="502" w:hanging="360"/>
      </w:pPr>
      <w:rPr>
        <w:rFonts w:ascii="GHEA Grapalat" w:eastAsiaTheme="minorHAnsi" w:hAnsi="GHEA Grapalat" w:cstheme="minorBid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8" w15:restartNumberingAfterBreak="0">
    <w:nsid w:val="3474043C"/>
    <w:multiLevelType w:val="multilevel"/>
    <w:tmpl w:val="4C2209D8"/>
    <w:lvl w:ilvl="0">
      <w:start w:val="1"/>
      <w:numFmt w:val="decimal"/>
      <w:lvlText w:val="%1."/>
      <w:lvlJc w:val="left"/>
      <w:pPr>
        <w:ind w:left="630" w:hanging="360"/>
      </w:pPr>
      <w:rPr>
        <w:rFonts w:hint="default"/>
        <w:sz w:val="28"/>
      </w:rPr>
    </w:lvl>
    <w:lvl w:ilvl="1">
      <w:start w:val="1"/>
      <w:numFmt w:val="decimal"/>
      <w:isLgl/>
      <w:lvlText w:val="%1.%2"/>
      <w:lvlJc w:val="left"/>
      <w:pPr>
        <w:ind w:left="1485" w:hanging="765"/>
      </w:pPr>
      <w:rPr>
        <w:rFonts w:cs="Times New Roman" w:hint="default"/>
      </w:rPr>
    </w:lvl>
    <w:lvl w:ilvl="2">
      <w:start w:val="1"/>
      <w:numFmt w:val="decimal"/>
      <w:isLgl/>
      <w:lvlText w:val="%1.%2.%3"/>
      <w:lvlJc w:val="left"/>
      <w:pPr>
        <w:ind w:left="1845" w:hanging="765"/>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D120BB7"/>
    <w:multiLevelType w:val="multilevel"/>
    <w:tmpl w:val="1B0291B4"/>
    <w:lvl w:ilvl="0">
      <w:start w:val="1"/>
      <w:numFmt w:val="decimal"/>
      <w:lvlText w:val="%1."/>
      <w:lvlJc w:val="left"/>
      <w:pPr>
        <w:ind w:left="927" w:hanging="360"/>
      </w:pPr>
      <w:rPr>
        <w:rFonts w:eastAsia="Times New Roman" w:cs="Times New Roman" w:hint="default"/>
        <w:b/>
        <w:color w:val="000000"/>
      </w:rPr>
    </w:lvl>
    <w:lvl w:ilvl="1">
      <w:start w:val="1"/>
      <w:numFmt w:val="decimal"/>
      <w:isLgl/>
      <w:lvlText w:val="%1.%2"/>
      <w:lvlJc w:val="left"/>
      <w:pPr>
        <w:ind w:left="927" w:hanging="360"/>
      </w:pPr>
      <w:rPr>
        <w:rFonts w:eastAsia="Times New Roman" w:cs="Times New Roman" w:hint="default"/>
        <w:b/>
        <w:color w:val="000000"/>
      </w:rPr>
    </w:lvl>
    <w:lvl w:ilvl="2">
      <w:start w:val="1"/>
      <w:numFmt w:val="decimal"/>
      <w:isLgl/>
      <w:lvlText w:val="%1.%2.%3"/>
      <w:lvlJc w:val="left"/>
      <w:pPr>
        <w:ind w:left="1287" w:hanging="720"/>
      </w:pPr>
      <w:rPr>
        <w:rFonts w:eastAsia="Times New Roman" w:cs="Times New Roman" w:hint="default"/>
        <w:color w:val="000000"/>
      </w:rPr>
    </w:lvl>
    <w:lvl w:ilvl="3">
      <w:start w:val="1"/>
      <w:numFmt w:val="decimal"/>
      <w:isLgl/>
      <w:lvlText w:val="%1.%2.%3.%4"/>
      <w:lvlJc w:val="left"/>
      <w:pPr>
        <w:ind w:left="1647" w:hanging="1080"/>
      </w:pPr>
      <w:rPr>
        <w:rFonts w:eastAsia="Times New Roman" w:cs="Times New Roman" w:hint="default"/>
        <w:color w:val="000000"/>
      </w:rPr>
    </w:lvl>
    <w:lvl w:ilvl="4">
      <w:start w:val="1"/>
      <w:numFmt w:val="decimal"/>
      <w:isLgl/>
      <w:lvlText w:val="%1.%2.%3.%4.%5"/>
      <w:lvlJc w:val="left"/>
      <w:pPr>
        <w:ind w:left="1647" w:hanging="1080"/>
      </w:pPr>
      <w:rPr>
        <w:rFonts w:eastAsia="Times New Roman" w:cs="Times New Roman" w:hint="default"/>
        <w:color w:val="000000"/>
      </w:rPr>
    </w:lvl>
    <w:lvl w:ilvl="5">
      <w:start w:val="1"/>
      <w:numFmt w:val="decimal"/>
      <w:isLgl/>
      <w:lvlText w:val="%1.%2.%3.%4.%5.%6"/>
      <w:lvlJc w:val="left"/>
      <w:pPr>
        <w:ind w:left="2007" w:hanging="1440"/>
      </w:pPr>
      <w:rPr>
        <w:rFonts w:eastAsia="Times New Roman" w:cs="Times New Roman" w:hint="default"/>
        <w:color w:val="000000"/>
      </w:rPr>
    </w:lvl>
    <w:lvl w:ilvl="6">
      <w:start w:val="1"/>
      <w:numFmt w:val="decimal"/>
      <w:isLgl/>
      <w:lvlText w:val="%1.%2.%3.%4.%5.%6.%7"/>
      <w:lvlJc w:val="left"/>
      <w:pPr>
        <w:ind w:left="2007" w:hanging="1440"/>
      </w:pPr>
      <w:rPr>
        <w:rFonts w:eastAsia="Times New Roman" w:cs="Times New Roman" w:hint="default"/>
        <w:color w:val="000000"/>
      </w:rPr>
    </w:lvl>
    <w:lvl w:ilvl="7">
      <w:start w:val="1"/>
      <w:numFmt w:val="decimal"/>
      <w:isLgl/>
      <w:lvlText w:val="%1.%2.%3.%4.%5.%6.%7.%8"/>
      <w:lvlJc w:val="left"/>
      <w:pPr>
        <w:ind w:left="2367" w:hanging="1800"/>
      </w:pPr>
      <w:rPr>
        <w:rFonts w:eastAsia="Times New Roman" w:cs="Times New Roman" w:hint="default"/>
        <w:color w:val="000000"/>
      </w:rPr>
    </w:lvl>
    <w:lvl w:ilvl="8">
      <w:start w:val="1"/>
      <w:numFmt w:val="decimal"/>
      <w:isLgl/>
      <w:lvlText w:val="%1.%2.%3.%4.%5.%6.%7.%8.%9"/>
      <w:lvlJc w:val="left"/>
      <w:pPr>
        <w:ind w:left="2727" w:hanging="2160"/>
      </w:pPr>
      <w:rPr>
        <w:rFonts w:eastAsia="Times New Roman" w:cs="Times New Roman" w:hint="default"/>
        <w:color w:val="000000"/>
      </w:rPr>
    </w:lvl>
  </w:abstractNum>
  <w:abstractNum w:abstractNumId="20" w15:restartNumberingAfterBreak="0">
    <w:nsid w:val="46B141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481A59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240A2"/>
    <w:multiLevelType w:val="multilevel"/>
    <w:tmpl w:val="A8204688"/>
    <w:lvl w:ilvl="0">
      <w:start w:val="1"/>
      <w:numFmt w:val="decimal"/>
      <w:lvlText w:val="%1."/>
      <w:lvlJc w:val="left"/>
      <w:pPr>
        <w:ind w:left="927" w:hanging="360"/>
      </w:pPr>
      <w:rPr>
        <w:rFonts w:eastAsia="Times New Roman" w:cs="Times New Roman" w:hint="default"/>
        <w:b/>
        <w:color w:val="000000"/>
      </w:rPr>
    </w:lvl>
    <w:lvl w:ilvl="1">
      <w:start w:val="1"/>
      <w:numFmt w:val="decimal"/>
      <w:isLgl/>
      <w:lvlText w:val="%1.%2"/>
      <w:lvlJc w:val="left"/>
      <w:pPr>
        <w:ind w:left="927" w:hanging="360"/>
      </w:pPr>
      <w:rPr>
        <w:rFonts w:eastAsia="Times New Roman" w:cs="Times New Roman" w:hint="default"/>
        <w:b/>
        <w:color w:val="000000"/>
      </w:rPr>
    </w:lvl>
    <w:lvl w:ilvl="2">
      <w:start w:val="1"/>
      <w:numFmt w:val="decimal"/>
      <w:isLgl/>
      <w:lvlText w:val="%1.%2.%3"/>
      <w:lvlJc w:val="left"/>
      <w:pPr>
        <w:ind w:left="1287" w:hanging="720"/>
      </w:pPr>
      <w:rPr>
        <w:rFonts w:eastAsia="Times New Roman" w:cs="Times New Roman" w:hint="default"/>
        <w:color w:val="000000"/>
      </w:rPr>
    </w:lvl>
    <w:lvl w:ilvl="3">
      <w:start w:val="1"/>
      <w:numFmt w:val="decimal"/>
      <w:isLgl/>
      <w:lvlText w:val="%1.%2.%3.%4"/>
      <w:lvlJc w:val="left"/>
      <w:pPr>
        <w:ind w:left="1647" w:hanging="1080"/>
      </w:pPr>
      <w:rPr>
        <w:rFonts w:eastAsia="Times New Roman" w:cs="Times New Roman" w:hint="default"/>
        <w:color w:val="000000"/>
      </w:rPr>
    </w:lvl>
    <w:lvl w:ilvl="4">
      <w:start w:val="1"/>
      <w:numFmt w:val="decimal"/>
      <w:isLgl/>
      <w:lvlText w:val="%1.%2.%3.%4.%5"/>
      <w:lvlJc w:val="left"/>
      <w:pPr>
        <w:ind w:left="1647" w:hanging="1080"/>
      </w:pPr>
      <w:rPr>
        <w:rFonts w:eastAsia="Times New Roman" w:cs="Times New Roman" w:hint="default"/>
        <w:color w:val="000000"/>
      </w:rPr>
    </w:lvl>
    <w:lvl w:ilvl="5">
      <w:start w:val="1"/>
      <w:numFmt w:val="decimal"/>
      <w:isLgl/>
      <w:lvlText w:val="%1.%2.%3.%4.%5.%6"/>
      <w:lvlJc w:val="left"/>
      <w:pPr>
        <w:ind w:left="2007" w:hanging="1440"/>
      </w:pPr>
      <w:rPr>
        <w:rFonts w:eastAsia="Times New Roman" w:cs="Times New Roman" w:hint="default"/>
        <w:color w:val="000000"/>
      </w:rPr>
    </w:lvl>
    <w:lvl w:ilvl="6">
      <w:start w:val="1"/>
      <w:numFmt w:val="decimal"/>
      <w:isLgl/>
      <w:lvlText w:val="%1.%2.%3.%4.%5.%6.%7"/>
      <w:lvlJc w:val="left"/>
      <w:pPr>
        <w:ind w:left="2007" w:hanging="1440"/>
      </w:pPr>
      <w:rPr>
        <w:rFonts w:eastAsia="Times New Roman" w:cs="Times New Roman" w:hint="default"/>
        <w:color w:val="000000"/>
      </w:rPr>
    </w:lvl>
    <w:lvl w:ilvl="7">
      <w:start w:val="1"/>
      <w:numFmt w:val="decimal"/>
      <w:isLgl/>
      <w:lvlText w:val="%1.%2.%3.%4.%5.%6.%7.%8"/>
      <w:lvlJc w:val="left"/>
      <w:pPr>
        <w:ind w:left="2367" w:hanging="1800"/>
      </w:pPr>
      <w:rPr>
        <w:rFonts w:eastAsia="Times New Roman" w:cs="Times New Roman" w:hint="default"/>
        <w:color w:val="000000"/>
      </w:rPr>
    </w:lvl>
    <w:lvl w:ilvl="8">
      <w:start w:val="1"/>
      <w:numFmt w:val="decimal"/>
      <w:isLgl/>
      <w:lvlText w:val="%1.%2.%3.%4.%5.%6.%7.%8.%9"/>
      <w:lvlJc w:val="left"/>
      <w:pPr>
        <w:ind w:left="2727" w:hanging="2160"/>
      </w:pPr>
      <w:rPr>
        <w:rFonts w:eastAsia="Times New Roman" w:cs="Times New Roman" w:hint="default"/>
        <w:color w:val="000000"/>
      </w:rPr>
    </w:lvl>
  </w:abstractNum>
  <w:abstractNum w:abstractNumId="23" w15:restartNumberingAfterBreak="0">
    <w:nsid w:val="52E25E8D"/>
    <w:multiLevelType w:val="hybridMultilevel"/>
    <w:tmpl w:val="90244702"/>
    <w:lvl w:ilvl="0" w:tplc="03705872">
      <w:start w:val="500"/>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B234D5"/>
    <w:multiLevelType w:val="multilevel"/>
    <w:tmpl w:val="58B6AF58"/>
    <w:lvl w:ilvl="0">
      <w:start w:val="1"/>
      <w:numFmt w:val="decimal"/>
      <w:lvlText w:val="%1."/>
      <w:lvlJc w:val="left"/>
      <w:pPr>
        <w:ind w:left="999" w:hanging="360"/>
      </w:pPr>
      <w:rPr>
        <w:rFonts w:hint="default"/>
      </w:rPr>
    </w:lvl>
    <w:lvl w:ilvl="1">
      <w:start w:val="1"/>
      <w:numFmt w:val="decimal"/>
      <w:isLgl/>
      <w:lvlText w:val="%1.%2"/>
      <w:lvlJc w:val="left"/>
      <w:pPr>
        <w:ind w:left="999" w:hanging="360"/>
      </w:pPr>
      <w:rPr>
        <w:rFonts w:hint="default"/>
        <w:b/>
      </w:rPr>
    </w:lvl>
    <w:lvl w:ilvl="2">
      <w:start w:val="1"/>
      <w:numFmt w:val="decimal"/>
      <w:isLgl/>
      <w:lvlText w:val="%1.%2.%3"/>
      <w:lvlJc w:val="left"/>
      <w:pPr>
        <w:ind w:left="1359" w:hanging="720"/>
      </w:pPr>
      <w:rPr>
        <w:rFonts w:hint="default"/>
        <w:b/>
      </w:rPr>
    </w:lvl>
    <w:lvl w:ilvl="3">
      <w:start w:val="1"/>
      <w:numFmt w:val="decimal"/>
      <w:isLgl/>
      <w:lvlText w:val="%1.%2.%3.%4"/>
      <w:lvlJc w:val="left"/>
      <w:pPr>
        <w:ind w:left="1719" w:hanging="1080"/>
      </w:pPr>
      <w:rPr>
        <w:rFonts w:hint="default"/>
        <w:b/>
      </w:rPr>
    </w:lvl>
    <w:lvl w:ilvl="4">
      <w:start w:val="1"/>
      <w:numFmt w:val="decimal"/>
      <w:isLgl/>
      <w:lvlText w:val="%1.%2.%3.%4.%5"/>
      <w:lvlJc w:val="left"/>
      <w:pPr>
        <w:ind w:left="1719" w:hanging="1080"/>
      </w:pPr>
      <w:rPr>
        <w:rFonts w:hint="default"/>
        <w:b/>
      </w:rPr>
    </w:lvl>
    <w:lvl w:ilvl="5">
      <w:start w:val="1"/>
      <w:numFmt w:val="decimal"/>
      <w:isLgl/>
      <w:lvlText w:val="%1.%2.%3.%4.%5.%6"/>
      <w:lvlJc w:val="left"/>
      <w:pPr>
        <w:ind w:left="2079" w:hanging="1440"/>
      </w:pPr>
      <w:rPr>
        <w:rFonts w:hint="default"/>
        <w:b/>
      </w:rPr>
    </w:lvl>
    <w:lvl w:ilvl="6">
      <w:start w:val="1"/>
      <w:numFmt w:val="decimal"/>
      <w:isLgl/>
      <w:lvlText w:val="%1.%2.%3.%4.%5.%6.%7"/>
      <w:lvlJc w:val="left"/>
      <w:pPr>
        <w:ind w:left="2079" w:hanging="1440"/>
      </w:pPr>
      <w:rPr>
        <w:rFonts w:hint="default"/>
        <w:b/>
      </w:rPr>
    </w:lvl>
    <w:lvl w:ilvl="7">
      <w:start w:val="1"/>
      <w:numFmt w:val="decimal"/>
      <w:isLgl/>
      <w:lvlText w:val="%1.%2.%3.%4.%5.%6.%7.%8"/>
      <w:lvlJc w:val="left"/>
      <w:pPr>
        <w:ind w:left="2439" w:hanging="1800"/>
      </w:pPr>
      <w:rPr>
        <w:rFonts w:hint="default"/>
        <w:b/>
      </w:rPr>
    </w:lvl>
    <w:lvl w:ilvl="8">
      <w:start w:val="1"/>
      <w:numFmt w:val="decimal"/>
      <w:isLgl/>
      <w:lvlText w:val="%1.%2.%3.%4.%5.%6.%7.%8.%9"/>
      <w:lvlJc w:val="left"/>
      <w:pPr>
        <w:ind w:left="2799" w:hanging="2160"/>
      </w:pPr>
      <w:rPr>
        <w:rFonts w:hint="default"/>
        <w:b/>
      </w:rPr>
    </w:lvl>
  </w:abstractNum>
  <w:abstractNum w:abstractNumId="25" w15:restartNumberingAfterBreak="0">
    <w:nsid w:val="574659E7"/>
    <w:multiLevelType w:val="hybridMultilevel"/>
    <w:tmpl w:val="9244E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F50547F"/>
    <w:multiLevelType w:val="hybridMultilevel"/>
    <w:tmpl w:val="ACC4671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F72574A"/>
    <w:multiLevelType w:val="hybridMultilevel"/>
    <w:tmpl w:val="C3DC5C82"/>
    <w:lvl w:ilvl="0" w:tplc="CD2229D2">
      <w:start w:val="1"/>
      <w:numFmt w:val="decimal"/>
      <w:lvlText w:val="%1."/>
      <w:lvlJc w:val="left"/>
      <w:pPr>
        <w:ind w:left="927" w:hanging="360"/>
      </w:pPr>
      <w:rPr>
        <w:rFonts w:hint="default"/>
        <w:b/>
        <w:color w:val="auto"/>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0D47CF8"/>
    <w:multiLevelType w:val="multilevel"/>
    <w:tmpl w:val="1E7613F8"/>
    <w:lvl w:ilvl="0">
      <w:start w:val="4"/>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E9444F"/>
    <w:multiLevelType w:val="hybridMultilevel"/>
    <w:tmpl w:val="B74A04E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6CFD0268"/>
    <w:multiLevelType w:val="hybridMultilevel"/>
    <w:tmpl w:val="BD5880C6"/>
    <w:lvl w:ilvl="0" w:tplc="AB56B6AE">
      <w:numFmt w:val="bullet"/>
      <w:lvlText w:val="-"/>
      <w:lvlJc w:val="left"/>
      <w:pPr>
        <w:ind w:left="720" w:hanging="360"/>
      </w:pPr>
      <w:rPr>
        <w:rFonts w:ascii="GHEA Grapalat" w:eastAsiaTheme="minorHAnsi" w:hAnsi="GHEA Grapala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72811"/>
    <w:multiLevelType w:val="multilevel"/>
    <w:tmpl w:val="8F88DBB2"/>
    <w:lvl w:ilvl="0">
      <w:start w:val="6"/>
      <w:numFmt w:val="decimal"/>
      <w:lvlText w:val="%1."/>
      <w:lvlJc w:val="left"/>
      <w:pPr>
        <w:ind w:left="928" w:hanging="360"/>
      </w:pPr>
      <w:rPr>
        <w:rFonts w:ascii="GHEA Grapalat" w:hAnsi="GHEA Grapalat" w:hint="default"/>
        <w:b/>
        <w:sz w:val="28"/>
        <w:szCs w:val="24"/>
      </w:rPr>
    </w:lvl>
    <w:lvl w:ilvl="1">
      <w:start w:val="1"/>
      <w:numFmt w:val="decimal"/>
      <w:lvlText w:val="%1.%2."/>
      <w:lvlJc w:val="left"/>
      <w:pPr>
        <w:ind w:left="432" w:hanging="432"/>
      </w:pPr>
      <w:rPr>
        <w:rFonts w:hint="default"/>
      </w:r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E263DE"/>
    <w:multiLevelType w:val="hybridMultilevel"/>
    <w:tmpl w:val="0B7CF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4837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2CB22E6"/>
    <w:multiLevelType w:val="multilevel"/>
    <w:tmpl w:val="240A0D4E"/>
    <w:lvl w:ilvl="0">
      <w:start w:val="1"/>
      <w:numFmt w:val="decimal"/>
      <w:lvlText w:val="%1."/>
      <w:lvlJc w:val="left"/>
      <w:pPr>
        <w:ind w:left="928" w:hanging="360"/>
      </w:pPr>
      <w:rPr>
        <w:rFonts w:hint="default"/>
        <w:lang w:val="hy-AM"/>
      </w:rPr>
    </w:lvl>
    <w:lvl w:ilvl="1">
      <w:start w:val="1"/>
      <w:numFmt w:val="decimal"/>
      <w:lvlText w:val="%1.%2."/>
      <w:lvlJc w:val="left"/>
      <w:pPr>
        <w:ind w:left="79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721EA"/>
    <w:multiLevelType w:val="hybridMultilevel"/>
    <w:tmpl w:val="760E62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07E3D"/>
    <w:multiLevelType w:val="hybridMultilevel"/>
    <w:tmpl w:val="EAA4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5"/>
  </w:num>
  <w:num w:numId="5">
    <w:abstractNumId w:val="7"/>
  </w:num>
  <w:num w:numId="6">
    <w:abstractNumId w:val="2"/>
  </w:num>
  <w:num w:numId="7">
    <w:abstractNumId w:val="33"/>
  </w:num>
  <w:num w:numId="8">
    <w:abstractNumId w:val="22"/>
  </w:num>
  <w:num w:numId="9">
    <w:abstractNumId w:val="16"/>
  </w:num>
  <w:num w:numId="10">
    <w:abstractNumId w:val="3"/>
  </w:num>
  <w:num w:numId="11">
    <w:abstractNumId w:val="18"/>
  </w:num>
  <w:num w:numId="12">
    <w:abstractNumId w:val="35"/>
  </w:num>
  <w:num w:numId="13">
    <w:abstractNumId w:val="17"/>
  </w:num>
  <w:num w:numId="14">
    <w:abstractNumId w:val="10"/>
  </w:num>
  <w:num w:numId="15">
    <w:abstractNumId w:val="8"/>
  </w:num>
  <w:num w:numId="16">
    <w:abstractNumId w:val="28"/>
  </w:num>
  <w:num w:numId="17">
    <w:abstractNumId w:val="1"/>
  </w:num>
  <w:num w:numId="18">
    <w:abstractNumId w:val="9"/>
  </w:num>
  <w:num w:numId="19">
    <w:abstractNumId w:val="14"/>
  </w:num>
  <w:num w:numId="20">
    <w:abstractNumId w:val="19"/>
  </w:num>
  <w:num w:numId="21">
    <w:abstractNumId w:val="11"/>
  </w:num>
  <w:num w:numId="22">
    <w:abstractNumId w:val="21"/>
  </w:num>
  <w:num w:numId="23">
    <w:abstractNumId w:val="26"/>
  </w:num>
  <w:num w:numId="24">
    <w:abstractNumId w:val="6"/>
  </w:num>
  <w:num w:numId="25">
    <w:abstractNumId w:val="13"/>
  </w:num>
  <w:num w:numId="26">
    <w:abstractNumId w:val="0"/>
  </w:num>
  <w:num w:numId="27">
    <w:abstractNumId w:val="20"/>
  </w:num>
  <w:num w:numId="28">
    <w:abstractNumId w:val="25"/>
  </w:num>
  <w:num w:numId="29">
    <w:abstractNumId w:val="24"/>
  </w:num>
  <w:num w:numId="30">
    <w:abstractNumId w:val="23"/>
  </w:num>
  <w:num w:numId="31">
    <w:abstractNumId w:val="30"/>
  </w:num>
  <w:num w:numId="32">
    <w:abstractNumId w:val="34"/>
  </w:num>
  <w:num w:numId="33">
    <w:abstractNumId w:val="36"/>
  </w:num>
  <w:num w:numId="34">
    <w:abstractNumId w:val="31"/>
  </w:num>
  <w:num w:numId="35">
    <w:abstractNumId w:val="12"/>
  </w:num>
  <w:num w:numId="36">
    <w:abstractNumId w:val="32"/>
  </w:num>
  <w:num w:numId="37">
    <w:abstractNumId w:val="29"/>
  </w:num>
  <w:num w:numId="3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54"/>
    <w:rsid w:val="00000F95"/>
    <w:rsid w:val="00001AE2"/>
    <w:rsid w:val="00001CB7"/>
    <w:rsid w:val="00002242"/>
    <w:rsid w:val="00002522"/>
    <w:rsid w:val="00003D0D"/>
    <w:rsid w:val="00004835"/>
    <w:rsid w:val="000054F0"/>
    <w:rsid w:val="00005749"/>
    <w:rsid w:val="00007997"/>
    <w:rsid w:val="000118F4"/>
    <w:rsid w:val="000129E6"/>
    <w:rsid w:val="0001567F"/>
    <w:rsid w:val="0002031D"/>
    <w:rsid w:val="000210C8"/>
    <w:rsid w:val="000219F2"/>
    <w:rsid w:val="000222E2"/>
    <w:rsid w:val="000227AC"/>
    <w:rsid w:val="00024527"/>
    <w:rsid w:val="000271F8"/>
    <w:rsid w:val="0002764B"/>
    <w:rsid w:val="000279FF"/>
    <w:rsid w:val="00030335"/>
    <w:rsid w:val="00031046"/>
    <w:rsid w:val="0003223B"/>
    <w:rsid w:val="00032630"/>
    <w:rsid w:val="00035D4A"/>
    <w:rsid w:val="00035F61"/>
    <w:rsid w:val="00041A18"/>
    <w:rsid w:val="00041DDA"/>
    <w:rsid w:val="000420F1"/>
    <w:rsid w:val="00042266"/>
    <w:rsid w:val="00042740"/>
    <w:rsid w:val="000436CE"/>
    <w:rsid w:val="000448C8"/>
    <w:rsid w:val="00044909"/>
    <w:rsid w:val="00045EE2"/>
    <w:rsid w:val="00051A75"/>
    <w:rsid w:val="00051E98"/>
    <w:rsid w:val="0005223B"/>
    <w:rsid w:val="00052493"/>
    <w:rsid w:val="000545A0"/>
    <w:rsid w:val="00056CD5"/>
    <w:rsid w:val="00061822"/>
    <w:rsid w:val="00063AB0"/>
    <w:rsid w:val="00065105"/>
    <w:rsid w:val="00066B2C"/>
    <w:rsid w:val="00066B70"/>
    <w:rsid w:val="00066D05"/>
    <w:rsid w:val="00066D7F"/>
    <w:rsid w:val="00067501"/>
    <w:rsid w:val="00067F35"/>
    <w:rsid w:val="000704D4"/>
    <w:rsid w:val="00070687"/>
    <w:rsid w:val="00070F8E"/>
    <w:rsid w:val="000717FC"/>
    <w:rsid w:val="00072A97"/>
    <w:rsid w:val="00074191"/>
    <w:rsid w:val="000747C5"/>
    <w:rsid w:val="000770C2"/>
    <w:rsid w:val="000776EE"/>
    <w:rsid w:val="00082C37"/>
    <w:rsid w:val="00083FF4"/>
    <w:rsid w:val="0008404B"/>
    <w:rsid w:val="00084554"/>
    <w:rsid w:val="0008506F"/>
    <w:rsid w:val="00085074"/>
    <w:rsid w:val="00086F29"/>
    <w:rsid w:val="00087295"/>
    <w:rsid w:val="000875F8"/>
    <w:rsid w:val="00087FE5"/>
    <w:rsid w:val="000922F8"/>
    <w:rsid w:val="00092704"/>
    <w:rsid w:val="00096125"/>
    <w:rsid w:val="000A1B23"/>
    <w:rsid w:val="000A1B49"/>
    <w:rsid w:val="000A31EB"/>
    <w:rsid w:val="000A6FED"/>
    <w:rsid w:val="000A77B9"/>
    <w:rsid w:val="000B0DBC"/>
    <w:rsid w:val="000B1A7E"/>
    <w:rsid w:val="000B2217"/>
    <w:rsid w:val="000B3B00"/>
    <w:rsid w:val="000B46F2"/>
    <w:rsid w:val="000B554A"/>
    <w:rsid w:val="000B6788"/>
    <w:rsid w:val="000B6A19"/>
    <w:rsid w:val="000C02D6"/>
    <w:rsid w:val="000C39F8"/>
    <w:rsid w:val="000C508C"/>
    <w:rsid w:val="000C5FEC"/>
    <w:rsid w:val="000C6C0C"/>
    <w:rsid w:val="000C77BA"/>
    <w:rsid w:val="000C79AF"/>
    <w:rsid w:val="000D0335"/>
    <w:rsid w:val="000D1551"/>
    <w:rsid w:val="000D41BE"/>
    <w:rsid w:val="000D43FE"/>
    <w:rsid w:val="000D49AF"/>
    <w:rsid w:val="000D4C42"/>
    <w:rsid w:val="000D5B5C"/>
    <w:rsid w:val="000D5D56"/>
    <w:rsid w:val="000D6FCA"/>
    <w:rsid w:val="000D796B"/>
    <w:rsid w:val="000D7B29"/>
    <w:rsid w:val="000D7B98"/>
    <w:rsid w:val="000E0415"/>
    <w:rsid w:val="000E2621"/>
    <w:rsid w:val="000E2B01"/>
    <w:rsid w:val="000E375D"/>
    <w:rsid w:val="000E412F"/>
    <w:rsid w:val="000E4C18"/>
    <w:rsid w:val="000E7DCB"/>
    <w:rsid w:val="000F08FF"/>
    <w:rsid w:val="000F09FD"/>
    <w:rsid w:val="000F1A30"/>
    <w:rsid w:val="000F3C14"/>
    <w:rsid w:val="000F556C"/>
    <w:rsid w:val="000F669F"/>
    <w:rsid w:val="000F710A"/>
    <w:rsid w:val="000F79B2"/>
    <w:rsid w:val="00100ADB"/>
    <w:rsid w:val="00101964"/>
    <w:rsid w:val="00102804"/>
    <w:rsid w:val="0010280D"/>
    <w:rsid w:val="00102C3B"/>
    <w:rsid w:val="00103207"/>
    <w:rsid w:val="001035B2"/>
    <w:rsid w:val="00103C52"/>
    <w:rsid w:val="00103D66"/>
    <w:rsid w:val="00105F11"/>
    <w:rsid w:val="001063DA"/>
    <w:rsid w:val="00106A1C"/>
    <w:rsid w:val="00107F35"/>
    <w:rsid w:val="00110992"/>
    <w:rsid w:val="00110F52"/>
    <w:rsid w:val="00111CC1"/>
    <w:rsid w:val="00112EA6"/>
    <w:rsid w:val="001142F9"/>
    <w:rsid w:val="00115DAF"/>
    <w:rsid w:val="0011631F"/>
    <w:rsid w:val="0011706C"/>
    <w:rsid w:val="001171DC"/>
    <w:rsid w:val="00117B18"/>
    <w:rsid w:val="001229CD"/>
    <w:rsid w:val="00123A3C"/>
    <w:rsid w:val="00123D05"/>
    <w:rsid w:val="0012406A"/>
    <w:rsid w:val="00125892"/>
    <w:rsid w:val="0012696C"/>
    <w:rsid w:val="00126BE9"/>
    <w:rsid w:val="0012726B"/>
    <w:rsid w:val="00127C3E"/>
    <w:rsid w:val="00127F33"/>
    <w:rsid w:val="0013010C"/>
    <w:rsid w:val="001319FB"/>
    <w:rsid w:val="00133539"/>
    <w:rsid w:val="0013441B"/>
    <w:rsid w:val="00135160"/>
    <w:rsid w:val="00136B1F"/>
    <w:rsid w:val="001419EB"/>
    <w:rsid w:val="00142FB4"/>
    <w:rsid w:val="001452F7"/>
    <w:rsid w:val="00146A07"/>
    <w:rsid w:val="001474E9"/>
    <w:rsid w:val="00147561"/>
    <w:rsid w:val="001504F0"/>
    <w:rsid w:val="00150EA4"/>
    <w:rsid w:val="00152611"/>
    <w:rsid w:val="00152AA6"/>
    <w:rsid w:val="00152B84"/>
    <w:rsid w:val="0015326F"/>
    <w:rsid w:val="00153A5C"/>
    <w:rsid w:val="00153AC0"/>
    <w:rsid w:val="00154967"/>
    <w:rsid w:val="00157824"/>
    <w:rsid w:val="001611CE"/>
    <w:rsid w:val="0016138E"/>
    <w:rsid w:val="00161DB9"/>
    <w:rsid w:val="00162BA6"/>
    <w:rsid w:val="0016310B"/>
    <w:rsid w:val="00163137"/>
    <w:rsid w:val="00163174"/>
    <w:rsid w:val="001638ED"/>
    <w:rsid w:val="00163EB7"/>
    <w:rsid w:val="00164A6C"/>
    <w:rsid w:val="00164AFC"/>
    <w:rsid w:val="00164F92"/>
    <w:rsid w:val="001657B2"/>
    <w:rsid w:val="001659B5"/>
    <w:rsid w:val="001660B5"/>
    <w:rsid w:val="00166849"/>
    <w:rsid w:val="00167919"/>
    <w:rsid w:val="00172771"/>
    <w:rsid w:val="00172E19"/>
    <w:rsid w:val="00174501"/>
    <w:rsid w:val="00176106"/>
    <w:rsid w:val="00176D5B"/>
    <w:rsid w:val="00177105"/>
    <w:rsid w:val="00177478"/>
    <w:rsid w:val="00177BBB"/>
    <w:rsid w:val="0018019B"/>
    <w:rsid w:val="00181D52"/>
    <w:rsid w:val="00182022"/>
    <w:rsid w:val="00182D6F"/>
    <w:rsid w:val="00184134"/>
    <w:rsid w:val="00184EB5"/>
    <w:rsid w:val="00185E98"/>
    <w:rsid w:val="00185EA3"/>
    <w:rsid w:val="00186634"/>
    <w:rsid w:val="001870D4"/>
    <w:rsid w:val="00190D89"/>
    <w:rsid w:val="00190E0D"/>
    <w:rsid w:val="00192997"/>
    <w:rsid w:val="00195376"/>
    <w:rsid w:val="00196A1F"/>
    <w:rsid w:val="00196F2C"/>
    <w:rsid w:val="001976D5"/>
    <w:rsid w:val="00197F97"/>
    <w:rsid w:val="001A009B"/>
    <w:rsid w:val="001A0401"/>
    <w:rsid w:val="001A0A6D"/>
    <w:rsid w:val="001A5F70"/>
    <w:rsid w:val="001A683E"/>
    <w:rsid w:val="001A6D36"/>
    <w:rsid w:val="001A70C5"/>
    <w:rsid w:val="001A7401"/>
    <w:rsid w:val="001B089C"/>
    <w:rsid w:val="001B0A0B"/>
    <w:rsid w:val="001B0AA1"/>
    <w:rsid w:val="001B15A4"/>
    <w:rsid w:val="001B1BD1"/>
    <w:rsid w:val="001B1DAB"/>
    <w:rsid w:val="001B202F"/>
    <w:rsid w:val="001B4224"/>
    <w:rsid w:val="001B47D3"/>
    <w:rsid w:val="001B50F7"/>
    <w:rsid w:val="001B6EFB"/>
    <w:rsid w:val="001B7EEA"/>
    <w:rsid w:val="001C0194"/>
    <w:rsid w:val="001C1514"/>
    <w:rsid w:val="001C2761"/>
    <w:rsid w:val="001C2E1D"/>
    <w:rsid w:val="001C395F"/>
    <w:rsid w:val="001C3CC9"/>
    <w:rsid w:val="001C4C04"/>
    <w:rsid w:val="001C60F1"/>
    <w:rsid w:val="001C64B9"/>
    <w:rsid w:val="001D017F"/>
    <w:rsid w:val="001D065D"/>
    <w:rsid w:val="001D0D41"/>
    <w:rsid w:val="001D1299"/>
    <w:rsid w:val="001D5FD1"/>
    <w:rsid w:val="001D6C0D"/>
    <w:rsid w:val="001D7295"/>
    <w:rsid w:val="001D7BB5"/>
    <w:rsid w:val="001D7C4E"/>
    <w:rsid w:val="001E1EE0"/>
    <w:rsid w:val="001E281B"/>
    <w:rsid w:val="001E2E96"/>
    <w:rsid w:val="001E390F"/>
    <w:rsid w:val="001E55CE"/>
    <w:rsid w:val="001E67C2"/>
    <w:rsid w:val="001E692F"/>
    <w:rsid w:val="001E7B9F"/>
    <w:rsid w:val="001F1CAD"/>
    <w:rsid w:val="001F3CDF"/>
    <w:rsid w:val="001F42F4"/>
    <w:rsid w:val="001F50A6"/>
    <w:rsid w:val="002005A1"/>
    <w:rsid w:val="0020076E"/>
    <w:rsid w:val="00200863"/>
    <w:rsid w:val="002016FF"/>
    <w:rsid w:val="0020181A"/>
    <w:rsid w:val="00201EEC"/>
    <w:rsid w:val="00202CF1"/>
    <w:rsid w:val="00202D76"/>
    <w:rsid w:val="002046B8"/>
    <w:rsid w:val="00205101"/>
    <w:rsid w:val="00210769"/>
    <w:rsid w:val="002131C7"/>
    <w:rsid w:val="0021389A"/>
    <w:rsid w:val="00215B5F"/>
    <w:rsid w:val="002202C7"/>
    <w:rsid w:val="0022075D"/>
    <w:rsid w:val="002211BF"/>
    <w:rsid w:val="00223E92"/>
    <w:rsid w:val="002248F7"/>
    <w:rsid w:val="002255C1"/>
    <w:rsid w:val="00225DB2"/>
    <w:rsid w:val="002261AC"/>
    <w:rsid w:val="00230105"/>
    <w:rsid w:val="00235B23"/>
    <w:rsid w:val="00236EAD"/>
    <w:rsid w:val="0023751B"/>
    <w:rsid w:val="0024103F"/>
    <w:rsid w:val="00245339"/>
    <w:rsid w:val="0024617A"/>
    <w:rsid w:val="00246270"/>
    <w:rsid w:val="00247844"/>
    <w:rsid w:val="0025166C"/>
    <w:rsid w:val="0025254B"/>
    <w:rsid w:val="00253D27"/>
    <w:rsid w:val="00254F11"/>
    <w:rsid w:val="00255517"/>
    <w:rsid w:val="002565E9"/>
    <w:rsid w:val="002568C8"/>
    <w:rsid w:val="002571F9"/>
    <w:rsid w:val="00257212"/>
    <w:rsid w:val="002574FD"/>
    <w:rsid w:val="0026056C"/>
    <w:rsid w:val="00260A26"/>
    <w:rsid w:val="0026117D"/>
    <w:rsid w:val="00262AA8"/>
    <w:rsid w:val="002639AB"/>
    <w:rsid w:val="00263DC9"/>
    <w:rsid w:val="002651B3"/>
    <w:rsid w:val="00266F7B"/>
    <w:rsid w:val="00270FA1"/>
    <w:rsid w:val="00271706"/>
    <w:rsid w:val="00272265"/>
    <w:rsid w:val="00272AB4"/>
    <w:rsid w:val="00273FC1"/>
    <w:rsid w:val="0027484E"/>
    <w:rsid w:val="002759A2"/>
    <w:rsid w:val="00275B3E"/>
    <w:rsid w:val="002765F9"/>
    <w:rsid w:val="00276C41"/>
    <w:rsid w:val="002778ED"/>
    <w:rsid w:val="0028304F"/>
    <w:rsid w:val="00283764"/>
    <w:rsid w:val="00283D5C"/>
    <w:rsid w:val="00283ED9"/>
    <w:rsid w:val="00284F53"/>
    <w:rsid w:val="0028560C"/>
    <w:rsid w:val="002862E5"/>
    <w:rsid w:val="0028675B"/>
    <w:rsid w:val="00287306"/>
    <w:rsid w:val="00287DBB"/>
    <w:rsid w:val="0029076A"/>
    <w:rsid w:val="00293751"/>
    <w:rsid w:val="00293BC0"/>
    <w:rsid w:val="00294B6A"/>
    <w:rsid w:val="00296E88"/>
    <w:rsid w:val="00297D2C"/>
    <w:rsid w:val="00297E92"/>
    <w:rsid w:val="002A0355"/>
    <w:rsid w:val="002A111D"/>
    <w:rsid w:val="002A3261"/>
    <w:rsid w:val="002A3C31"/>
    <w:rsid w:val="002A52BE"/>
    <w:rsid w:val="002A657F"/>
    <w:rsid w:val="002A7A30"/>
    <w:rsid w:val="002B21F5"/>
    <w:rsid w:val="002B3C41"/>
    <w:rsid w:val="002B4394"/>
    <w:rsid w:val="002B4EC0"/>
    <w:rsid w:val="002B4FC5"/>
    <w:rsid w:val="002B7B73"/>
    <w:rsid w:val="002B7C09"/>
    <w:rsid w:val="002C2143"/>
    <w:rsid w:val="002C26A3"/>
    <w:rsid w:val="002C4316"/>
    <w:rsid w:val="002C4863"/>
    <w:rsid w:val="002C5D23"/>
    <w:rsid w:val="002C63B2"/>
    <w:rsid w:val="002C71A4"/>
    <w:rsid w:val="002C795A"/>
    <w:rsid w:val="002D0EE5"/>
    <w:rsid w:val="002D3FC8"/>
    <w:rsid w:val="002D4250"/>
    <w:rsid w:val="002D470B"/>
    <w:rsid w:val="002D4F74"/>
    <w:rsid w:val="002D51AE"/>
    <w:rsid w:val="002D54B5"/>
    <w:rsid w:val="002D66D9"/>
    <w:rsid w:val="002E112B"/>
    <w:rsid w:val="002E1259"/>
    <w:rsid w:val="002E17C1"/>
    <w:rsid w:val="002E24CF"/>
    <w:rsid w:val="002E346C"/>
    <w:rsid w:val="002E3563"/>
    <w:rsid w:val="002E378A"/>
    <w:rsid w:val="002E4456"/>
    <w:rsid w:val="002E54C0"/>
    <w:rsid w:val="002E66E0"/>
    <w:rsid w:val="002E7721"/>
    <w:rsid w:val="002F0AFB"/>
    <w:rsid w:val="002F0E3E"/>
    <w:rsid w:val="002F21C2"/>
    <w:rsid w:val="002F3064"/>
    <w:rsid w:val="002F52E8"/>
    <w:rsid w:val="002F7181"/>
    <w:rsid w:val="003015C5"/>
    <w:rsid w:val="00303637"/>
    <w:rsid w:val="003052D7"/>
    <w:rsid w:val="00305EDE"/>
    <w:rsid w:val="00306B32"/>
    <w:rsid w:val="00306E2C"/>
    <w:rsid w:val="003079DF"/>
    <w:rsid w:val="00310A79"/>
    <w:rsid w:val="003119B1"/>
    <w:rsid w:val="00311E87"/>
    <w:rsid w:val="00313008"/>
    <w:rsid w:val="00313815"/>
    <w:rsid w:val="0031466E"/>
    <w:rsid w:val="00316407"/>
    <w:rsid w:val="0031651E"/>
    <w:rsid w:val="003174CA"/>
    <w:rsid w:val="00317715"/>
    <w:rsid w:val="00320B30"/>
    <w:rsid w:val="00320F87"/>
    <w:rsid w:val="00321E61"/>
    <w:rsid w:val="003228FC"/>
    <w:rsid w:val="00324742"/>
    <w:rsid w:val="00325956"/>
    <w:rsid w:val="00325F47"/>
    <w:rsid w:val="00326303"/>
    <w:rsid w:val="00326FA6"/>
    <w:rsid w:val="00330508"/>
    <w:rsid w:val="00330AF5"/>
    <w:rsid w:val="00331A4B"/>
    <w:rsid w:val="003328EE"/>
    <w:rsid w:val="00332C67"/>
    <w:rsid w:val="003333AA"/>
    <w:rsid w:val="003342F9"/>
    <w:rsid w:val="00335AFC"/>
    <w:rsid w:val="003364A9"/>
    <w:rsid w:val="00336523"/>
    <w:rsid w:val="00336571"/>
    <w:rsid w:val="00336996"/>
    <w:rsid w:val="0033775C"/>
    <w:rsid w:val="00340D34"/>
    <w:rsid w:val="003416F9"/>
    <w:rsid w:val="00341FAD"/>
    <w:rsid w:val="003424F9"/>
    <w:rsid w:val="00342AC6"/>
    <w:rsid w:val="00343373"/>
    <w:rsid w:val="00344F48"/>
    <w:rsid w:val="0034663A"/>
    <w:rsid w:val="003478A4"/>
    <w:rsid w:val="003479F1"/>
    <w:rsid w:val="00347A71"/>
    <w:rsid w:val="0035147F"/>
    <w:rsid w:val="00351BC0"/>
    <w:rsid w:val="0035211B"/>
    <w:rsid w:val="00352577"/>
    <w:rsid w:val="003539BF"/>
    <w:rsid w:val="00355BB5"/>
    <w:rsid w:val="0035663F"/>
    <w:rsid w:val="00357CF2"/>
    <w:rsid w:val="003653F4"/>
    <w:rsid w:val="00367BBE"/>
    <w:rsid w:val="00372188"/>
    <w:rsid w:val="0037245D"/>
    <w:rsid w:val="003731B1"/>
    <w:rsid w:val="00373AF5"/>
    <w:rsid w:val="003746B3"/>
    <w:rsid w:val="00376F26"/>
    <w:rsid w:val="00377B5B"/>
    <w:rsid w:val="0038103D"/>
    <w:rsid w:val="003810E9"/>
    <w:rsid w:val="00382D9D"/>
    <w:rsid w:val="00383DE4"/>
    <w:rsid w:val="003846DA"/>
    <w:rsid w:val="00384DD5"/>
    <w:rsid w:val="003868B5"/>
    <w:rsid w:val="00386F1D"/>
    <w:rsid w:val="00392F02"/>
    <w:rsid w:val="00395982"/>
    <w:rsid w:val="003972E5"/>
    <w:rsid w:val="003974B5"/>
    <w:rsid w:val="003979FC"/>
    <w:rsid w:val="003A0BA6"/>
    <w:rsid w:val="003A188D"/>
    <w:rsid w:val="003A2F09"/>
    <w:rsid w:val="003A33F2"/>
    <w:rsid w:val="003A5B7D"/>
    <w:rsid w:val="003A733C"/>
    <w:rsid w:val="003A7C7F"/>
    <w:rsid w:val="003A7E60"/>
    <w:rsid w:val="003B1369"/>
    <w:rsid w:val="003B3E6A"/>
    <w:rsid w:val="003B4554"/>
    <w:rsid w:val="003B634C"/>
    <w:rsid w:val="003B7E78"/>
    <w:rsid w:val="003C1F07"/>
    <w:rsid w:val="003C2F95"/>
    <w:rsid w:val="003C4440"/>
    <w:rsid w:val="003C452C"/>
    <w:rsid w:val="003C4EBE"/>
    <w:rsid w:val="003C4FAD"/>
    <w:rsid w:val="003C5196"/>
    <w:rsid w:val="003C52AC"/>
    <w:rsid w:val="003C5DAD"/>
    <w:rsid w:val="003C69A1"/>
    <w:rsid w:val="003D0640"/>
    <w:rsid w:val="003D125E"/>
    <w:rsid w:val="003D3F86"/>
    <w:rsid w:val="003D7E64"/>
    <w:rsid w:val="003E1886"/>
    <w:rsid w:val="003E247F"/>
    <w:rsid w:val="003E3471"/>
    <w:rsid w:val="003E36FF"/>
    <w:rsid w:val="003E3BCD"/>
    <w:rsid w:val="003E5457"/>
    <w:rsid w:val="003E6ED6"/>
    <w:rsid w:val="003E7AC2"/>
    <w:rsid w:val="003F34FF"/>
    <w:rsid w:val="003F4147"/>
    <w:rsid w:val="003F48EE"/>
    <w:rsid w:val="003F6339"/>
    <w:rsid w:val="003F6716"/>
    <w:rsid w:val="003F7277"/>
    <w:rsid w:val="003F7601"/>
    <w:rsid w:val="0040017B"/>
    <w:rsid w:val="00401935"/>
    <w:rsid w:val="00401BD7"/>
    <w:rsid w:val="0040469B"/>
    <w:rsid w:val="004109BB"/>
    <w:rsid w:val="00411E14"/>
    <w:rsid w:val="004131D9"/>
    <w:rsid w:val="00413B1A"/>
    <w:rsid w:val="004140D3"/>
    <w:rsid w:val="00414340"/>
    <w:rsid w:val="004204FE"/>
    <w:rsid w:val="004205A3"/>
    <w:rsid w:val="004212A1"/>
    <w:rsid w:val="0042153C"/>
    <w:rsid w:val="00422589"/>
    <w:rsid w:val="0042491D"/>
    <w:rsid w:val="004264FD"/>
    <w:rsid w:val="004268CC"/>
    <w:rsid w:val="004271C9"/>
    <w:rsid w:val="004271E0"/>
    <w:rsid w:val="0043004B"/>
    <w:rsid w:val="00431AA8"/>
    <w:rsid w:val="00432D3C"/>
    <w:rsid w:val="004335AC"/>
    <w:rsid w:val="00434266"/>
    <w:rsid w:val="00434567"/>
    <w:rsid w:val="00435AC5"/>
    <w:rsid w:val="0043681E"/>
    <w:rsid w:val="00436B56"/>
    <w:rsid w:val="004379A3"/>
    <w:rsid w:val="004379E8"/>
    <w:rsid w:val="00440C05"/>
    <w:rsid w:val="0044116B"/>
    <w:rsid w:val="0044228A"/>
    <w:rsid w:val="00442428"/>
    <w:rsid w:val="00442BCE"/>
    <w:rsid w:val="00444A81"/>
    <w:rsid w:val="00444AC1"/>
    <w:rsid w:val="00445492"/>
    <w:rsid w:val="00447589"/>
    <w:rsid w:val="0045097C"/>
    <w:rsid w:val="00450DF0"/>
    <w:rsid w:val="004513DD"/>
    <w:rsid w:val="004565DE"/>
    <w:rsid w:val="004569E5"/>
    <w:rsid w:val="004573C8"/>
    <w:rsid w:val="00457B3B"/>
    <w:rsid w:val="00460A45"/>
    <w:rsid w:val="004612B6"/>
    <w:rsid w:val="00462243"/>
    <w:rsid w:val="004669C5"/>
    <w:rsid w:val="0046799C"/>
    <w:rsid w:val="00471130"/>
    <w:rsid w:val="0047143E"/>
    <w:rsid w:val="004727A8"/>
    <w:rsid w:val="0047405C"/>
    <w:rsid w:val="00474230"/>
    <w:rsid w:val="00474CC6"/>
    <w:rsid w:val="0047547F"/>
    <w:rsid w:val="00475ADA"/>
    <w:rsid w:val="00476A3E"/>
    <w:rsid w:val="00476ED8"/>
    <w:rsid w:val="004770CB"/>
    <w:rsid w:val="00480F91"/>
    <w:rsid w:val="004811A2"/>
    <w:rsid w:val="00481A1C"/>
    <w:rsid w:val="00482374"/>
    <w:rsid w:val="00483CC5"/>
    <w:rsid w:val="00483E62"/>
    <w:rsid w:val="00483E6F"/>
    <w:rsid w:val="00485BEA"/>
    <w:rsid w:val="004861B7"/>
    <w:rsid w:val="00486A05"/>
    <w:rsid w:val="00490F22"/>
    <w:rsid w:val="00492291"/>
    <w:rsid w:val="00492684"/>
    <w:rsid w:val="00492AEB"/>
    <w:rsid w:val="00494152"/>
    <w:rsid w:val="00495B74"/>
    <w:rsid w:val="00495C6E"/>
    <w:rsid w:val="00497FC6"/>
    <w:rsid w:val="004A0560"/>
    <w:rsid w:val="004A05DB"/>
    <w:rsid w:val="004A14F0"/>
    <w:rsid w:val="004A1966"/>
    <w:rsid w:val="004A267A"/>
    <w:rsid w:val="004A28C2"/>
    <w:rsid w:val="004A3859"/>
    <w:rsid w:val="004A386B"/>
    <w:rsid w:val="004A534C"/>
    <w:rsid w:val="004B03BA"/>
    <w:rsid w:val="004B05B1"/>
    <w:rsid w:val="004B29C7"/>
    <w:rsid w:val="004B29D6"/>
    <w:rsid w:val="004B3605"/>
    <w:rsid w:val="004B406B"/>
    <w:rsid w:val="004B41BF"/>
    <w:rsid w:val="004B7CEA"/>
    <w:rsid w:val="004C043E"/>
    <w:rsid w:val="004C08F4"/>
    <w:rsid w:val="004C0CB4"/>
    <w:rsid w:val="004C0D3E"/>
    <w:rsid w:val="004C25EE"/>
    <w:rsid w:val="004C3BCD"/>
    <w:rsid w:val="004C3E0F"/>
    <w:rsid w:val="004C75AB"/>
    <w:rsid w:val="004D0C3B"/>
    <w:rsid w:val="004D0F84"/>
    <w:rsid w:val="004D2396"/>
    <w:rsid w:val="004D2B63"/>
    <w:rsid w:val="004D2DA1"/>
    <w:rsid w:val="004D3F22"/>
    <w:rsid w:val="004D4BB9"/>
    <w:rsid w:val="004D610A"/>
    <w:rsid w:val="004D6567"/>
    <w:rsid w:val="004D722D"/>
    <w:rsid w:val="004D730F"/>
    <w:rsid w:val="004D73B7"/>
    <w:rsid w:val="004D76BC"/>
    <w:rsid w:val="004D7B9B"/>
    <w:rsid w:val="004E339D"/>
    <w:rsid w:val="004E3A09"/>
    <w:rsid w:val="004E47D8"/>
    <w:rsid w:val="004E4D8C"/>
    <w:rsid w:val="004E5549"/>
    <w:rsid w:val="004E6248"/>
    <w:rsid w:val="004E63B7"/>
    <w:rsid w:val="004E6400"/>
    <w:rsid w:val="004E79D0"/>
    <w:rsid w:val="004E7DAC"/>
    <w:rsid w:val="004F0105"/>
    <w:rsid w:val="004F4084"/>
    <w:rsid w:val="004F579B"/>
    <w:rsid w:val="004F5A6A"/>
    <w:rsid w:val="004F6564"/>
    <w:rsid w:val="004F6D25"/>
    <w:rsid w:val="00500EEE"/>
    <w:rsid w:val="00501323"/>
    <w:rsid w:val="00503AC6"/>
    <w:rsid w:val="00503B5D"/>
    <w:rsid w:val="00503E5A"/>
    <w:rsid w:val="00504AF2"/>
    <w:rsid w:val="00504C58"/>
    <w:rsid w:val="00505EED"/>
    <w:rsid w:val="0050616A"/>
    <w:rsid w:val="0050693F"/>
    <w:rsid w:val="005102BD"/>
    <w:rsid w:val="005105D6"/>
    <w:rsid w:val="00510C3D"/>
    <w:rsid w:val="00511226"/>
    <w:rsid w:val="00512232"/>
    <w:rsid w:val="00513512"/>
    <w:rsid w:val="00513CBD"/>
    <w:rsid w:val="00513E90"/>
    <w:rsid w:val="00515145"/>
    <w:rsid w:val="00516BC4"/>
    <w:rsid w:val="005217CC"/>
    <w:rsid w:val="005219FA"/>
    <w:rsid w:val="0052305C"/>
    <w:rsid w:val="0052341F"/>
    <w:rsid w:val="0052509F"/>
    <w:rsid w:val="00525118"/>
    <w:rsid w:val="00525F9D"/>
    <w:rsid w:val="00526361"/>
    <w:rsid w:val="00530A35"/>
    <w:rsid w:val="005311DC"/>
    <w:rsid w:val="005335F8"/>
    <w:rsid w:val="005359A6"/>
    <w:rsid w:val="0053736B"/>
    <w:rsid w:val="00540ED0"/>
    <w:rsid w:val="00541C3F"/>
    <w:rsid w:val="00542553"/>
    <w:rsid w:val="005431CF"/>
    <w:rsid w:val="0054373A"/>
    <w:rsid w:val="005466E5"/>
    <w:rsid w:val="00547247"/>
    <w:rsid w:val="00550008"/>
    <w:rsid w:val="00551A0F"/>
    <w:rsid w:val="00551C4E"/>
    <w:rsid w:val="00553B56"/>
    <w:rsid w:val="00553D65"/>
    <w:rsid w:val="00555A7C"/>
    <w:rsid w:val="00555C73"/>
    <w:rsid w:val="00556E74"/>
    <w:rsid w:val="00556F28"/>
    <w:rsid w:val="00560136"/>
    <w:rsid w:val="00560DE2"/>
    <w:rsid w:val="00561427"/>
    <w:rsid w:val="00562A07"/>
    <w:rsid w:val="00563FC9"/>
    <w:rsid w:val="005652A6"/>
    <w:rsid w:val="00565D5A"/>
    <w:rsid w:val="00566560"/>
    <w:rsid w:val="00567127"/>
    <w:rsid w:val="00567F3E"/>
    <w:rsid w:val="0057008E"/>
    <w:rsid w:val="00570A93"/>
    <w:rsid w:val="0057226B"/>
    <w:rsid w:val="0057232A"/>
    <w:rsid w:val="005725DB"/>
    <w:rsid w:val="0057355C"/>
    <w:rsid w:val="00575120"/>
    <w:rsid w:val="0057651F"/>
    <w:rsid w:val="00576BAA"/>
    <w:rsid w:val="00577791"/>
    <w:rsid w:val="005801B7"/>
    <w:rsid w:val="00580269"/>
    <w:rsid w:val="00582EAE"/>
    <w:rsid w:val="00584954"/>
    <w:rsid w:val="00584B80"/>
    <w:rsid w:val="00584BF1"/>
    <w:rsid w:val="0058767D"/>
    <w:rsid w:val="00592C05"/>
    <w:rsid w:val="00592E4C"/>
    <w:rsid w:val="005934CF"/>
    <w:rsid w:val="00593EBE"/>
    <w:rsid w:val="00594166"/>
    <w:rsid w:val="00595255"/>
    <w:rsid w:val="00595938"/>
    <w:rsid w:val="00596576"/>
    <w:rsid w:val="005969FE"/>
    <w:rsid w:val="0059755F"/>
    <w:rsid w:val="005A2BF3"/>
    <w:rsid w:val="005A4661"/>
    <w:rsid w:val="005A478E"/>
    <w:rsid w:val="005A508A"/>
    <w:rsid w:val="005A5141"/>
    <w:rsid w:val="005A578F"/>
    <w:rsid w:val="005A7D29"/>
    <w:rsid w:val="005B20A4"/>
    <w:rsid w:val="005B2126"/>
    <w:rsid w:val="005B4BFF"/>
    <w:rsid w:val="005B4F98"/>
    <w:rsid w:val="005B6CE7"/>
    <w:rsid w:val="005B7CE2"/>
    <w:rsid w:val="005C072A"/>
    <w:rsid w:val="005C082A"/>
    <w:rsid w:val="005C2EBD"/>
    <w:rsid w:val="005C3000"/>
    <w:rsid w:val="005C62BD"/>
    <w:rsid w:val="005C7745"/>
    <w:rsid w:val="005C7F84"/>
    <w:rsid w:val="005D007A"/>
    <w:rsid w:val="005D22DE"/>
    <w:rsid w:val="005D351E"/>
    <w:rsid w:val="005D44B2"/>
    <w:rsid w:val="005D4F67"/>
    <w:rsid w:val="005D5043"/>
    <w:rsid w:val="005D6A21"/>
    <w:rsid w:val="005D7397"/>
    <w:rsid w:val="005E0433"/>
    <w:rsid w:val="005E18CC"/>
    <w:rsid w:val="005E24B7"/>
    <w:rsid w:val="005E36CD"/>
    <w:rsid w:val="005E3AC2"/>
    <w:rsid w:val="005E3CFA"/>
    <w:rsid w:val="005E459B"/>
    <w:rsid w:val="005E674E"/>
    <w:rsid w:val="005F103D"/>
    <w:rsid w:val="005F274B"/>
    <w:rsid w:val="005F4198"/>
    <w:rsid w:val="005F4294"/>
    <w:rsid w:val="005F4A1B"/>
    <w:rsid w:val="005F4E7B"/>
    <w:rsid w:val="005F5AEB"/>
    <w:rsid w:val="005F7052"/>
    <w:rsid w:val="005F7287"/>
    <w:rsid w:val="00601D36"/>
    <w:rsid w:val="00602DC7"/>
    <w:rsid w:val="00603722"/>
    <w:rsid w:val="006045AF"/>
    <w:rsid w:val="006046BC"/>
    <w:rsid w:val="006053F7"/>
    <w:rsid w:val="006057A0"/>
    <w:rsid w:val="00605A07"/>
    <w:rsid w:val="00605F42"/>
    <w:rsid w:val="00606188"/>
    <w:rsid w:val="00607674"/>
    <w:rsid w:val="0060786B"/>
    <w:rsid w:val="006106FE"/>
    <w:rsid w:val="00611326"/>
    <w:rsid w:val="00612259"/>
    <w:rsid w:val="00612F0D"/>
    <w:rsid w:val="006144A8"/>
    <w:rsid w:val="00615C70"/>
    <w:rsid w:val="00616110"/>
    <w:rsid w:val="006169F8"/>
    <w:rsid w:val="0062036E"/>
    <w:rsid w:val="00622068"/>
    <w:rsid w:val="00622EA1"/>
    <w:rsid w:val="006232AA"/>
    <w:rsid w:val="00624320"/>
    <w:rsid w:val="0062725E"/>
    <w:rsid w:val="006279BA"/>
    <w:rsid w:val="00630FF0"/>
    <w:rsid w:val="0063124F"/>
    <w:rsid w:val="00631EE7"/>
    <w:rsid w:val="006320E5"/>
    <w:rsid w:val="006325C7"/>
    <w:rsid w:val="00632747"/>
    <w:rsid w:val="00632EAD"/>
    <w:rsid w:val="00633F5C"/>
    <w:rsid w:val="00634A71"/>
    <w:rsid w:val="00640EAB"/>
    <w:rsid w:val="006413C4"/>
    <w:rsid w:val="00641518"/>
    <w:rsid w:val="00641E4E"/>
    <w:rsid w:val="00642D37"/>
    <w:rsid w:val="00643C33"/>
    <w:rsid w:val="00643F9A"/>
    <w:rsid w:val="006453C3"/>
    <w:rsid w:val="00645A99"/>
    <w:rsid w:val="00650A93"/>
    <w:rsid w:val="00650C45"/>
    <w:rsid w:val="006512FA"/>
    <w:rsid w:val="00651F9F"/>
    <w:rsid w:val="0065287C"/>
    <w:rsid w:val="00653B22"/>
    <w:rsid w:val="00654036"/>
    <w:rsid w:val="00654A42"/>
    <w:rsid w:val="00655F2C"/>
    <w:rsid w:val="006638B8"/>
    <w:rsid w:val="00667D84"/>
    <w:rsid w:val="00670497"/>
    <w:rsid w:val="00670684"/>
    <w:rsid w:val="006721AD"/>
    <w:rsid w:val="0067407C"/>
    <w:rsid w:val="00680D00"/>
    <w:rsid w:val="006815BA"/>
    <w:rsid w:val="00681C0F"/>
    <w:rsid w:val="00683C30"/>
    <w:rsid w:val="00683DFD"/>
    <w:rsid w:val="00683F13"/>
    <w:rsid w:val="00685386"/>
    <w:rsid w:val="00686303"/>
    <w:rsid w:val="006874EE"/>
    <w:rsid w:val="00690ABF"/>
    <w:rsid w:val="0069277C"/>
    <w:rsid w:val="00693124"/>
    <w:rsid w:val="0069381D"/>
    <w:rsid w:val="00694243"/>
    <w:rsid w:val="00694288"/>
    <w:rsid w:val="0069445B"/>
    <w:rsid w:val="00694E4E"/>
    <w:rsid w:val="00694F23"/>
    <w:rsid w:val="00695D70"/>
    <w:rsid w:val="0069686F"/>
    <w:rsid w:val="006A056D"/>
    <w:rsid w:val="006A2CC5"/>
    <w:rsid w:val="006A3CC5"/>
    <w:rsid w:val="006A3EC6"/>
    <w:rsid w:val="006A4A6A"/>
    <w:rsid w:val="006A4C56"/>
    <w:rsid w:val="006A6868"/>
    <w:rsid w:val="006A6A28"/>
    <w:rsid w:val="006A6BC1"/>
    <w:rsid w:val="006A736C"/>
    <w:rsid w:val="006A761B"/>
    <w:rsid w:val="006A7D66"/>
    <w:rsid w:val="006B074D"/>
    <w:rsid w:val="006B1618"/>
    <w:rsid w:val="006B2761"/>
    <w:rsid w:val="006B517E"/>
    <w:rsid w:val="006B5777"/>
    <w:rsid w:val="006B57B7"/>
    <w:rsid w:val="006B681F"/>
    <w:rsid w:val="006B6F52"/>
    <w:rsid w:val="006B71B1"/>
    <w:rsid w:val="006C0C9D"/>
    <w:rsid w:val="006C3057"/>
    <w:rsid w:val="006C5D25"/>
    <w:rsid w:val="006C6664"/>
    <w:rsid w:val="006C672A"/>
    <w:rsid w:val="006C6E00"/>
    <w:rsid w:val="006C76E1"/>
    <w:rsid w:val="006D0183"/>
    <w:rsid w:val="006D10EC"/>
    <w:rsid w:val="006D11F2"/>
    <w:rsid w:val="006D208F"/>
    <w:rsid w:val="006D41A4"/>
    <w:rsid w:val="006D4233"/>
    <w:rsid w:val="006D48D5"/>
    <w:rsid w:val="006D6479"/>
    <w:rsid w:val="006E0701"/>
    <w:rsid w:val="006E1296"/>
    <w:rsid w:val="006E1FBB"/>
    <w:rsid w:val="006E39F4"/>
    <w:rsid w:val="006E4B9E"/>
    <w:rsid w:val="006E4E94"/>
    <w:rsid w:val="006E5C80"/>
    <w:rsid w:val="006E7751"/>
    <w:rsid w:val="006F17AF"/>
    <w:rsid w:val="006F1B3B"/>
    <w:rsid w:val="006F262F"/>
    <w:rsid w:val="006F2ECE"/>
    <w:rsid w:val="006F2FFD"/>
    <w:rsid w:val="006F5B0B"/>
    <w:rsid w:val="006F6DC1"/>
    <w:rsid w:val="00700275"/>
    <w:rsid w:val="00700EF5"/>
    <w:rsid w:val="00701E95"/>
    <w:rsid w:val="00702937"/>
    <w:rsid w:val="00704A90"/>
    <w:rsid w:val="00704B50"/>
    <w:rsid w:val="007051A5"/>
    <w:rsid w:val="007100D2"/>
    <w:rsid w:val="0071169A"/>
    <w:rsid w:val="00712E22"/>
    <w:rsid w:val="0071359E"/>
    <w:rsid w:val="00713680"/>
    <w:rsid w:val="00713BB2"/>
    <w:rsid w:val="00713DBD"/>
    <w:rsid w:val="00714D96"/>
    <w:rsid w:val="00715862"/>
    <w:rsid w:val="007158E7"/>
    <w:rsid w:val="007158ED"/>
    <w:rsid w:val="007169FB"/>
    <w:rsid w:val="00717825"/>
    <w:rsid w:val="00720BCD"/>
    <w:rsid w:val="00721DF4"/>
    <w:rsid w:val="00726CF4"/>
    <w:rsid w:val="007275B9"/>
    <w:rsid w:val="0073027F"/>
    <w:rsid w:val="00731A60"/>
    <w:rsid w:val="00732CDF"/>
    <w:rsid w:val="0073462B"/>
    <w:rsid w:val="00736FA2"/>
    <w:rsid w:val="007413A9"/>
    <w:rsid w:val="00741D1A"/>
    <w:rsid w:val="0074298B"/>
    <w:rsid w:val="00742CD1"/>
    <w:rsid w:val="00743B98"/>
    <w:rsid w:val="00743C45"/>
    <w:rsid w:val="00745A4C"/>
    <w:rsid w:val="007460EA"/>
    <w:rsid w:val="00747E1B"/>
    <w:rsid w:val="00750EF9"/>
    <w:rsid w:val="00752A95"/>
    <w:rsid w:val="00753729"/>
    <w:rsid w:val="00755AF7"/>
    <w:rsid w:val="007574EE"/>
    <w:rsid w:val="0076114C"/>
    <w:rsid w:val="00763FCD"/>
    <w:rsid w:val="00766369"/>
    <w:rsid w:val="007670A9"/>
    <w:rsid w:val="0076714E"/>
    <w:rsid w:val="0076747D"/>
    <w:rsid w:val="007678AE"/>
    <w:rsid w:val="00770138"/>
    <w:rsid w:val="00771BBC"/>
    <w:rsid w:val="007734D7"/>
    <w:rsid w:val="00773EEF"/>
    <w:rsid w:val="00775642"/>
    <w:rsid w:val="007756B3"/>
    <w:rsid w:val="0077620F"/>
    <w:rsid w:val="00776586"/>
    <w:rsid w:val="0078064E"/>
    <w:rsid w:val="00780956"/>
    <w:rsid w:val="007819CF"/>
    <w:rsid w:val="00781D84"/>
    <w:rsid w:val="00782A50"/>
    <w:rsid w:val="00783C17"/>
    <w:rsid w:val="00783D16"/>
    <w:rsid w:val="00784EC2"/>
    <w:rsid w:val="00785D41"/>
    <w:rsid w:val="00790508"/>
    <w:rsid w:val="00790786"/>
    <w:rsid w:val="00790B4B"/>
    <w:rsid w:val="007910B0"/>
    <w:rsid w:val="007911A9"/>
    <w:rsid w:val="00792BF4"/>
    <w:rsid w:val="00793918"/>
    <w:rsid w:val="00793F31"/>
    <w:rsid w:val="007965CC"/>
    <w:rsid w:val="007A101F"/>
    <w:rsid w:val="007A19F5"/>
    <w:rsid w:val="007A1E9B"/>
    <w:rsid w:val="007A41AD"/>
    <w:rsid w:val="007A433E"/>
    <w:rsid w:val="007A5764"/>
    <w:rsid w:val="007A722B"/>
    <w:rsid w:val="007A75CA"/>
    <w:rsid w:val="007A7A69"/>
    <w:rsid w:val="007B13F3"/>
    <w:rsid w:val="007B213D"/>
    <w:rsid w:val="007B320A"/>
    <w:rsid w:val="007B37E9"/>
    <w:rsid w:val="007B57B7"/>
    <w:rsid w:val="007B60ED"/>
    <w:rsid w:val="007B674C"/>
    <w:rsid w:val="007B6A5B"/>
    <w:rsid w:val="007B6C83"/>
    <w:rsid w:val="007B7C6A"/>
    <w:rsid w:val="007C28CE"/>
    <w:rsid w:val="007C4201"/>
    <w:rsid w:val="007C5D03"/>
    <w:rsid w:val="007C5EAD"/>
    <w:rsid w:val="007C6371"/>
    <w:rsid w:val="007C7E27"/>
    <w:rsid w:val="007D0930"/>
    <w:rsid w:val="007D1449"/>
    <w:rsid w:val="007D16FE"/>
    <w:rsid w:val="007D2E5A"/>
    <w:rsid w:val="007D3135"/>
    <w:rsid w:val="007D6AF3"/>
    <w:rsid w:val="007D6F3A"/>
    <w:rsid w:val="007D73AA"/>
    <w:rsid w:val="007D7918"/>
    <w:rsid w:val="007E453D"/>
    <w:rsid w:val="007E4AB9"/>
    <w:rsid w:val="007E5029"/>
    <w:rsid w:val="007E5C1A"/>
    <w:rsid w:val="007E79E3"/>
    <w:rsid w:val="007F2A29"/>
    <w:rsid w:val="007F2DD2"/>
    <w:rsid w:val="007F3FC1"/>
    <w:rsid w:val="007F493E"/>
    <w:rsid w:val="007F681E"/>
    <w:rsid w:val="007F7AE9"/>
    <w:rsid w:val="00803085"/>
    <w:rsid w:val="00810561"/>
    <w:rsid w:val="00813649"/>
    <w:rsid w:val="00814DD3"/>
    <w:rsid w:val="0081597E"/>
    <w:rsid w:val="00816A89"/>
    <w:rsid w:val="00821DF4"/>
    <w:rsid w:val="008228F7"/>
    <w:rsid w:val="008234C5"/>
    <w:rsid w:val="00823B0E"/>
    <w:rsid w:val="00824A05"/>
    <w:rsid w:val="008276C8"/>
    <w:rsid w:val="0083020E"/>
    <w:rsid w:val="00832D29"/>
    <w:rsid w:val="00833E7F"/>
    <w:rsid w:val="00834B42"/>
    <w:rsid w:val="00835104"/>
    <w:rsid w:val="00835D5E"/>
    <w:rsid w:val="00836D02"/>
    <w:rsid w:val="008419CE"/>
    <w:rsid w:val="00842251"/>
    <w:rsid w:val="00845E5E"/>
    <w:rsid w:val="00845F29"/>
    <w:rsid w:val="0085278F"/>
    <w:rsid w:val="0085354B"/>
    <w:rsid w:val="00853886"/>
    <w:rsid w:val="0085421B"/>
    <w:rsid w:val="0085454C"/>
    <w:rsid w:val="0085554C"/>
    <w:rsid w:val="00855881"/>
    <w:rsid w:val="00856FFD"/>
    <w:rsid w:val="0085754F"/>
    <w:rsid w:val="00857B70"/>
    <w:rsid w:val="0086099B"/>
    <w:rsid w:val="0086151D"/>
    <w:rsid w:val="00863161"/>
    <w:rsid w:val="00863A63"/>
    <w:rsid w:val="00863BC0"/>
    <w:rsid w:val="00864900"/>
    <w:rsid w:val="00865B4B"/>
    <w:rsid w:val="00866CAB"/>
    <w:rsid w:val="0086777B"/>
    <w:rsid w:val="00867D65"/>
    <w:rsid w:val="00867E87"/>
    <w:rsid w:val="00867FEB"/>
    <w:rsid w:val="00872A31"/>
    <w:rsid w:val="00872C18"/>
    <w:rsid w:val="0087375C"/>
    <w:rsid w:val="00873876"/>
    <w:rsid w:val="00875721"/>
    <w:rsid w:val="008759BD"/>
    <w:rsid w:val="00875C98"/>
    <w:rsid w:val="00876189"/>
    <w:rsid w:val="008818D8"/>
    <w:rsid w:val="00882236"/>
    <w:rsid w:val="00882BC1"/>
    <w:rsid w:val="00883016"/>
    <w:rsid w:val="008834A1"/>
    <w:rsid w:val="00883D1D"/>
    <w:rsid w:val="00883DD5"/>
    <w:rsid w:val="00883E58"/>
    <w:rsid w:val="00884B95"/>
    <w:rsid w:val="008875BB"/>
    <w:rsid w:val="00887849"/>
    <w:rsid w:val="008908C7"/>
    <w:rsid w:val="00890B1B"/>
    <w:rsid w:val="00891C4B"/>
    <w:rsid w:val="008975B1"/>
    <w:rsid w:val="008A06B8"/>
    <w:rsid w:val="008A1652"/>
    <w:rsid w:val="008A2099"/>
    <w:rsid w:val="008A20A3"/>
    <w:rsid w:val="008A2381"/>
    <w:rsid w:val="008A2BE4"/>
    <w:rsid w:val="008A37E2"/>
    <w:rsid w:val="008A4328"/>
    <w:rsid w:val="008A46B1"/>
    <w:rsid w:val="008A5010"/>
    <w:rsid w:val="008A519F"/>
    <w:rsid w:val="008A59A9"/>
    <w:rsid w:val="008B0611"/>
    <w:rsid w:val="008B44CC"/>
    <w:rsid w:val="008B4656"/>
    <w:rsid w:val="008B6D94"/>
    <w:rsid w:val="008C0DE3"/>
    <w:rsid w:val="008C1C00"/>
    <w:rsid w:val="008C3985"/>
    <w:rsid w:val="008C3C49"/>
    <w:rsid w:val="008C46CE"/>
    <w:rsid w:val="008C4E1C"/>
    <w:rsid w:val="008C59A1"/>
    <w:rsid w:val="008C5DC6"/>
    <w:rsid w:val="008C6B1A"/>
    <w:rsid w:val="008C7C88"/>
    <w:rsid w:val="008D11EE"/>
    <w:rsid w:val="008D1458"/>
    <w:rsid w:val="008D2DD6"/>
    <w:rsid w:val="008D3363"/>
    <w:rsid w:val="008D3560"/>
    <w:rsid w:val="008D4637"/>
    <w:rsid w:val="008D4692"/>
    <w:rsid w:val="008D4C6E"/>
    <w:rsid w:val="008D5B76"/>
    <w:rsid w:val="008D65F5"/>
    <w:rsid w:val="008D68E0"/>
    <w:rsid w:val="008D745C"/>
    <w:rsid w:val="008D7BC3"/>
    <w:rsid w:val="008E0451"/>
    <w:rsid w:val="008E10EE"/>
    <w:rsid w:val="008E2486"/>
    <w:rsid w:val="008E270C"/>
    <w:rsid w:val="008E2D79"/>
    <w:rsid w:val="008E44C3"/>
    <w:rsid w:val="008E46F6"/>
    <w:rsid w:val="008E474F"/>
    <w:rsid w:val="008E5380"/>
    <w:rsid w:val="008E6765"/>
    <w:rsid w:val="008F04D9"/>
    <w:rsid w:val="008F18FE"/>
    <w:rsid w:val="008F4F17"/>
    <w:rsid w:val="008F59A7"/>
    <w:rsid w:val="008F6CAB"/>
    <w:rsid w:val="008F731F"/>
    <w:rsid w:val="009026B9"/>
    <w:rsid w:val="009031CC"/>
    <w:rsid w:val="00903CB3"/>
    <w:rsid w:val="00906BAD"/>
    <w:rsid w:val="009072A9"/>
    <w:rsid w:val="00907491"/>
    <w:rsid w:val="00907AC2"/>
    <w:rsid w:val="009122EC"/>
    <w:rsid w:val="009123E9"/>
    <w:rsid w:val="009154BE"/>
    <w:rsid w:val="009155E0"/>
    <w:rsid w:val="009160A8"/>
    <w:rsid w:val="00916790"/>
    <w:rsid w:val="009171F7"/>
    <w:rsid w:val="00920770"/>
    <w:rsid w:val="00921B0B"/>
    <w:rsid w:val="00922882"/>
    <w:rsid w:val="00922A89"/>
    <w:rsid w:val="00922AFB"/>
    <w:rsid w:val="009230C3"/>
    <w:rsid w:val="00923FE7"/>
    <w:rsid w:val="00926C2A"/>
    <w:rsid w:val="00926D2C"/>
    <w:rsid w:val="009278CE"/>
    <w:rsid w:val="00927E36"/>
    <w:rsid w:val="009314C2"/>
    <w:rsid w:val="00931DE7"/>
    <w:rsid w:val="009326CF"/>
    <w:rsid w:val="00935975"/>
    <w:rsid w:val="00936640"/>
    <w:rsid w:val="00941132"/>
    <w:rsid w:val="00941A85"/>
    <w:rsid w:val="00941C03"/>
    <w:rsid w:val="00941D13"/>
    <w:rsid w:val="00941F8F"/>
    <w:rsid w:val="00944639"/>
    <w:rsid w:val="00945937"/>
    <w:rsid w:val="00945B77"/>
    <w:rsid w:val="00947B33"/>
    <w:rsid w:val="00947E29"/>
    <w:rsid w:val="00950CDD"/>
    <w:rsid w:val="00950E2E"/>
    <w:rsid w:val="0095112E"/>
    <w:rsid w:val="00952DB8"/>
    <w:rsid w:val="00954B2E"/>
    <w:rsid w:val="00954C92"/>
    <w:rsid w:val="00954F45"/>
    <w:rsid w:val="00955577"/>
    <w:rsid w:val="00957249"/>
    <w:rsid w:val="00961AB6"/>
    <w:rsid w:val="00961D9A"/>
    <w:rsid w:val="00962474"/>
    <w:rsid w:val="00964A05"/>
    <w:rsid w:val="0096617F"/>
    <w:rsid w:val="009678EC"/>
    <w:rsid w:val="00967C31"/>
    <w:rsid w:val="009706F7"/>
    <w:rsid w:val="00971C9F"/>
    <w:rsid w:val="00971F4F"/>
    <w:rsid w:val="00972A11"/>
    <w:rsid w:val="009744BA"/>
    <w:rsid w:val="009757AC"/>
    <w:rsid w:val="00975A08"/>
    <w:rsid w:val="00977DF1"/>
    <w:rsid w:val="009815B5"/>
    <w:rsid w:val="009817B2"/>
    <w:rsid w:val="00981EBB"/>
    <w:rsid w:val="00982D8B"/>
    <w:rsid w:val="009831FF"/>
    <w:rsid w:val="009853E2"/>
    <w:rsid w:val="00985843"/>
    <w:rsid w:val="00985917"/>
    <w:rsid w:val="00985CFE"/>
    <w:rsid w:val="00986AF0"/>
    <w:rsid w:val="009876C1"/>
    <w:rsid w:val="00991F71"/>
    <w:rsid w:val="00992705"/>
    <w:rsid w:val="00993408"/>
    <w:rsid w:val="00993928"/>
    <w:rsid w:val="00994992"/>
    <w:rsid w:val="00997193"/>
    <w:rsid w:val="009974D7"/>
    <w:rsid w:val="009A0679"/>
    <w:rsid w:val="009A0C65"/>
    <w:rsid w:val="009A0D5A"/>
    <w:rsid w:val="009A2333"/>
    <w:rsid w:val="009A2590"/>
    <w:rsid w:val="009A2664"/>
    <w:rsid w:val="009A3688"/>
    <w:rsid w:val="009A7D51"/>
    <w:rsid w:val="009B213B"/>
    <w:rsid w:val="009B36C0"/>
    <w:rsid w:val="009B391A"/>
    <w:rsid w:val="009B3AA5"/>
    <w:rsid w:val="009B493F"/>
    <w:rsid w:val="009B4CDB"/>
    <w:rsid w:val="009B6107"/>
    <w:rsid w:val="009B7D24"/>
    <w:rsid w:val="009C0B97"/>
    <w:rsid w:val="009C1013"/>
    <w:rsid w:val="009C193D"/>
    <w:rsid w:val="009C3FE1"/>
    <w:rsid w:val="009C5CD9"/>
    <w:rsid w:val="009C6405"/>
    <w:rsid w:val="009C72C9"/>
    <w:rsid w:val="009C73A4"/>
    <w:rsid w:val="009D03DC"/>
    <w:rsid w:val="009D0435"/>
    <w:rsid w:val="009D095A"/>
    <w:rsid w:val="009D258A"/>
    <w:rsid w:val="009D325A"/>
    <w:rsid w:val="009D34E7"/>
    <w:rsid w:val="009D3DDC"/>
    <w:rsid w:val="009D4CC2"/>
    <w:rsid w:val="009E02AD"/>
    <w:rsid w:val="009E02F6"/>
    <w:rsid w:val="009E22CA"/>
    <w:rsid w:val="009E2431"/>
    <w:rsid w:val="009E2673"/>
    <w:rsid w:val="009E271C"/>
    <w:rsid w:val="009E2940"/>
    <w:rsid w:val="009E49C0"/>
    <w:rsid w:val="009E564C"/>
    <w:rsid w:val="009E5900"/>
    <w:rsid w:val="009E6F2B"/>
    <w:rsid w:val="009E7732"/>
    <w:rsid w:val="009E7E12"/>
    <w:rsid w:val="009F1743"/>
    <w:rsid w:val="009F28BA"/>
    <w:rsid w:val="009F3F8D"/>
    <w:rsid w:val="009F4A76"/>
    <w:rsid w:val="009F7954"/>
    <w:rsid w:val="00A0252B"/>
    <w:rsid w:val="00A02754"/>
    <w:rsid w:val="00A02B17"/>
    <w:rsid w:val="00A02E12"/>
    <w:rsid w:val="00A03599"/>
    <w:rsid w:val="00A03951"/>
    <w:rsid w:val="00A04F5D"/>
    <w:rsid w:val="00A063EF"/>
    <w:rsid w:val="00A0656E"/>
    <w:rsid w:val="00A06B67"/>
    <w:rsid w:val="00A120CC"/>
    <w:rsid w:val="00A125FA"/>
    <w:rsid w:val="00A13989"/>
    <w:rsid w:val="00A139C1"/>
    <w:rsid w:val="00A16E5E"/>
    <w:rsid w:val="00A172D6"/>
    <w:rsid w:val="00A17C30"/>
    <w:rsid w:val="00A22053"/>
    <w:rsid w:val="00A2282B"/>
    <w:rsid w:val="00A245F8"/>
    <w:rsid w:val="00A25344"/>
    <w:rsid w:val="00A258A2"/>
    <w:rsid w:val="00A26B1B"/>
    <w:rsid w:val="00A26F2C"/>
    <w:rsid w:val="00A27313"/>
    <w:rsid w:val="00A3106D"/>
    <w:rsid w:val="00A316F3"/>
    <w:rsid w:val="00A31C81"/>
    <w:rsid w:val="00A32CF1"/>
    <w:rsid w:val="00A3367B"/>
    <w:rsid w:val="00A33BE6"/>
    <w:rsid w:val="00A34D41"/>
    <w:rsid w:val="00A35688"/>
    <w:rsid w:val="00A35802"/>
    <w:rsid w:val="00A3593B"/>
    <w:rsid w:val="00A35ABB"/>
    <w:rsid w:val="00A370DD"/>
    <w:rsid w:val="00A37709"/>
    <w:rsid w:val="00A37C09"/>
    <w:rsid w:val="00A40814"/>
    <w:rsid w:val="00A41CA3"/>
    <w:rsid w:val="00A41FA6"/>
    <w:rsid w:val="00A43096"/>
    <w:rsid w:val="00A454F1"/>
    <w:rsid w:val="00A46200"/>
    <w:rsid w:val="00A464D8"/>
    <w:rsid w:val="00A46586"/>
    <w:rsid w:val="00A47A65"/>
    <w:rsid w:val="00A50467"/>
    <w:rsid w:val="00A51D82"/>
    <w:rsid w:val="00A525C7"/>
    <w:rsid w:val="00A52721"/>
    <w:rsid w:val="00A528E0"/>
    <w:rsid w:val="00A57150"/>
    <w:rsid w:val="00A618DD"/>
    <w:rsid w:val="00A62BE0"/>
    <w:rsid w:val="00A6301F"/>
    <w:rsid w:val="00A63B85"/>
    <w:rsid w:val="00A65298"/>
    <w:rsid w:val="00A65C49"/>
    <w:rsid w:val="00A65D0B"/>
    <w:rsid w:val="00A65F86"/>
    <w:rsid w:val="00A66670"/>
    <w:rsid w:val="00A66C94"/>
    <w:rsid w:val="00A706D1"/>
    <w:rsid w:val="00A70922"/>
    <w:rsid w:val="00A71EF7"/>
    <w:rsid w:val="00A725EB"/>
    <w:rsid w:val="00A74351"/>
    <w:rsid w:val="00A76F9C"/>
    <w:rsid w:val="00A808F6"/>
    <w:rsid w:val="00A82442"/>
    <w:rsid w:val="00A83199"/>
    <w:rsid w:val="00A83830"/>
    <w:rsid w:val="00A8497B"/>
    <w:rsid w:val="00A8551F"/>
    <w:rsid w:val="00A86035"/>
    <w:rsid w:val="00A874CB"/>
    <w:rsid w:val="00A87568"/>
    <w:rsid w:val="00A9461E"/>
    <w:rsid w:val="00A958E2"/>
    <w:rsid w:val="00A9608A"/>
    <w:rsid w:val="00A96F90"/>
    <w:rsid w:val="00AA0ADC"/>
    <w:rsid w:val="00AA11A1"/>
    <w:rsid w:val="00AA18D6"/>
    <w:rsid w:val="00AA1E1B"/>
    <w:rsid w:val="00AA3EA7"/>
    <w:rsid w:val="00AA3F05"/>
    <w:rsid w:val="00AA4752"/>
    <w:rsid w:val="00AA6EFC"/>
    <w:rsid w:val="00AB10E6"/>
    <w:rsid w:val="00AB1FF8"/>
    <w:rsid w:val="00AB410C"/>
    <w:rsid w:val="00AB4FA8"/>
    <w:rsid w:val="00AB5C34"/>
    <w:rsid w:val="00AB5CC4"/>
    <w:rsid w:val="00AB5CFE"/>
    <w:rsid w:val="00AB7C2B"/>
    <w:rsid w:val="00AC078D"/>
    <w:rsid w:val="00AC17F8"/>
    <w:rsid w:val="00AC18D1"/>
    <w:rsid w:val="00AC32F1"/>
    <w:rsid w:val="00AC39B3"/>
    <w:rsid w:val="00AC3ECD"/>
    <w:rsid w:val="00AC4341"/>
    <w:rsid w:val="00AC4CC3"/>
    <w:rsid w:val="00AC518C"/>
    <w:rsid w:val="00AC6AF6"/>
    <w:rsid w:val="00AC7055"/>
    <w:rsid w:val="00AC7646"/>
    <w:rsid w:val="00AD0F10"/>
    <w:rsid w:val="00AD2EB5"/>
    <w:rsid w:val="00AD4B86"/>
    <w:rsid w:val="00AD54D1"/>
    <w:rsid w:val="00AD5FBE"/>
    <w:rsid w:val="00AE057A"/>
    <w:rsid w:val="00AE25AB"/>
    <w:rsid w:val="00AE27C4"/>
    <w:rsid w:val="00AE2FE4"/>
    <w:rsid w:val="00AE3194"/>
    <w:rsid w:val="00AE4481"/>
    <w:rsid w:val="00AE48C3"/>
    <w:rsid w:val="00AE5516"/>
    <w:rsid w:val="00AE5836"/>
    <w:rsid w:val="00AE6050"/>
    <w:rsid w:val="00AE77DF"/>
    <w:rsid w:val="00AE7913"/>
    <w:rsid w:val="00AE7C09"/>
    <w:rsid w:val="00AF07C3"/>
    <w:rsid w:val="00AF0F36"/>
    <w:rsid w:val="00AF13C1"/>
    <w:rsid w:val="00AF3057"/>
    <w:rsid w:val="00AF3078"/>
    <w:rsid w:val="00AF4C54"/>
    <w:rsid w:val="00AF59C4"/>
    <w:rsid w:val="00AF7C46"/>
    <w:rsid w:val="00B00029"/>
    <w:rsid w:val="00B003B4"/>
    <w:rsid w:val="00B009AC"/>
    <w:rsid w:val="00B0199B"/>
    <w:rsid w:val="00B01F1B"/>
    <w:rsid w:val="00B02C4C"/>
    <w:rsid w:val="00B02EF9"/>
    <w:rsid w:val="00B03088"/>
    <w:rsid w:val="00B05911"/>
    <w:rsid w:val="00B074D6"/>
    <w:rsid w:val="00B153EA"/>
    <w:rsid w:val="00B15F87"/>
    <w:rsid w:val="00B17ABD"/>
    <w:rsid w:val="00B17C95"/>
    <w:rsid w:val="00B208A2"/>
    <w:rsid w:val="00B22338"/>
    <w:rsid w:val="00B23659"/>
    <w:rsid w:val="00B242B9"/>
    <w:rsid w:val="00B265D0"/>
    <w:rsid w:val="00B30A29"/>
    <w:rsid w:val="00B377D0"/>
    <w:rsid w:val="00B401CE"/>
    <w:rsid w:val="00B40973"/>
    <w:rsid w:val="00B40AC0"/>
    <w:rsid w:val="00B41A62"/>
    <w:rsid w:val="00B41CC1"/>
    <w:rsid w:val="00B42A8B"/>
    <w:rsid w:val="00B438AE"/>
    <w:rsid w:val="00B44609"/>
    <w:rsid w:val="00B44A8B"/>
    <w:rsid w:val="00B44B94"/>
    <w:rsid w:val="00B44CF2"/>
    <w:rsid w:val="00B45A4D"/>
    <w:rsid w:val="00B46B9E"/>
    <w:rsid w:val="00B500FB"/>
    <w:rsid w:val="00B501DB"/>
    <w:rsid w:val="00B50830"/>
    <w:rsid w:val="00B54A0F"/>
    <w:rsid w:val="00B55D6A"/>
    <w:rsid w:val="00B55E9D"/>
    <w:rsid w:val="00B57319"/>
    <w:rsid w:val="00B6103F"/>
    <w:rsid w:val="00B611E2"/>
    <w:rsid w:val="00B65EC9"/>
    <w:rsid w:val="00B70C3B"/>
    <w:rsid w:val="00B7268F"/>
    <w:rsid w:val="00B75938"/>
    <w:rsid w:val="00B76F43"/>
    <w:rsid w:val="00B772DC"/>
    <w:rsid w:val="00B77C3B"/>
    <w:rsid w:val="00B77DD4"/>
    <w:rsid w:val="00B80D69"/>
    <w:rsid w:val="00B81DAD"/>
    <w:rsid w:val="00B841CE"/>
    <w:rsid w:val="00B84D93"/>
    <w:rsid w:val="00B85A09"/>
    <w:rsid w:val="00B867FF"/>
    <w:rsid w:val="00B86F1E"/>
    <w:rsid w:val="00B878CD"/>
    <w:rsid w:val="00B9175D"/>
    <w:rsid w:val="00B92A06"/>
    <w:rsid w:val="00B92CA6"/>
    <w:rsid w:val="00B937F8"/>
    <w:rsid w:val="00B94FC2"/>
    <w:rsid w:val="00B9630E"/>
    <w:rsid w:val="00B973C2"/>
    <w:rsid w:val="00BA24BF"/>
    <w:rsid w:val="00BA2BEA"/>
    <w:rsid w:val="00BA395D"/>
    <w:rsid w:val="00BA5909"/>
    <w:rsid w:val="00BA663D"/>
    <w:rsid w:val="00BA6963"/>
    <w:rsid w:val="00BB3421"/>
    <w:rsid w:val="00BB3AB9"/>
    <w:rsid w:val="00BB43FD"/>
    <w:rsid w:val="00BB4A48"/>
    <w:rsid w:val="00BB4A7C"/>
    <w:rsid w:val="00BB608D"/>
    <w:rsid w:val="00BB7D04"/>
    <w:rsid w:val="00BC00A1"/>
    <w:rsid w:val="00BC069A"/>
    <w:rsid w:val="00BC1071"/>
    <w:rsid w:val="00BC2B2B"/>
    <w:rsid w:val="00BC2E22"/>
    <w:rsid w:val="00BC3F37"/>
    <w:rsid w:val="00BC4F60"/>
    <w:rsid w:val="00BC638C"/>
    <w:rsid w:val="00BD1D95"/>
    <w:rsid w:val="00BD1EDB"/>
    <w:rsid w:val="00BD41FD"/>
    <w:rsid w:val="00BD4A43"/>
    <w:rsid w:val="00BD5DE1"/>
    <w:rsid w:val="00BE0D01"/>
    <w:rsid w:val="00BE15F4"/>
    <w:rsid w:val="00BE396C"/>
    <w:rsid w:val="00BE3C0A"/>
    <w:rsid w:val="00BE4023"/>
    <w:rsid w:val="00BE4463"/>
    <w:rsid w:val="00BE467E"/>
    <w:rsid w:val="00BE6072"/>
    <w:rsid w:val="00BF1394"/>
    <w:rsid w:val="00BF21DB"/>
    <w:rsid w:val="00BF3721"/>
    <w:rsid w:val="00BF3E1C"/>
    <w:rsid w:val="00BF4176"/>
    <w:rsid w:val="00BF4413"/>
    <w:rsid w:val="00BF481B"/>
    <w:rsid w:val="00BF4E5D"/>
    <w:rsid w:val="00BF6025"/>
    <w:rsid w:val="00BF6091"/>
    <w:rsid w:val="00BF7392"/>
    <w:rsid w:val="00BF7474"/>
    <w:rsid w:val="00C003C9"/>
    <w:rsid w:val="00C009F6"/>
    <w:rsid w:val="00C00F73"/>
    <w:rsid w:val="00C02297"/>
    <w:rsid w:val="00C034DC"/>
    <w:rsid w:val="00C04589"/>
    <w:rsid w:val="00C05904"/>
    <w:rsid w:val="00C0641C"/>
    <w:rsid w:val="00C07371"/>
    <w:rsid w:val="00C07672"/>
    <w:rsid w:val="00C101E6"/>
    <w:rsid w:val="00C1111C"/>
    <w:rsid w:val="00C1257F"/>
    <w:rsid w:val="00C20E2E"/>
    <w:rsid w:val="00C218DB"/>
    <w:rsid w:val="00C2256D"/>
    <w:rsid w:val="00C231FC"/>
    <w:rsid w:val="00C25BD9"/>
    <w:rsid w:val="00C260BB"/>
    <w:rsid w:val="00C26791"/>
    <w:rsid w:val="00C27360"/>
    <w:rsid w:val="00C27719"/>
    <w:rsid w:val="00C27AD5"/>
    <w:rsid w:val="00C27B6A"/>
    <w:rsid w:val="00C27E56"/>
    <w:rsid w:val="00C30651"/>
    <w:rsid w:val="00C319E6"/>
    <w:rsid w:val="00C31D5B"/>
    <w:rsid w:val="00C31E82"/>
    <w:rsid w:val="00C334BC"/>
    <w:rsid w:val="00C344BB"/>
    <w:rsid w:val="00C34AA5"/>
    <w:rsid w:val="00C356F1"/>
    <w:rsid w:val="00C35A68"/>
    <w:rsid w:val="00C35BBD"/>
    <w:rsid w:val="00C369FD"/>
    <w:rsid w:val="00C36AAF"/>
    <w:rsid w:val="00C36DF8"/>
    <w:rsid w:val="00C36E68"/>
    <w:rsid w:val="00C40575"/>
    <w:rsid w:val="00C4068C"/>
    <w:rsid w:val="00C40CAA"/>
    <w:rsid w:val="00C424D1"/>
    <w:rsid w:val="00C42EC7"/>
    <w:rsid w:val="00C444C6"/>
    <w:rsid w:val="00C45D85"/>
    <w:rsid w:val="00C4662B"/>
    <w:rsid w:val="00C47B5E"/>
    <w:rsid w:val="00C5059B"/>
    <w:rsid w:val="00C50A60"/>
    <w:rsid w:val="00C518B7"/>
    <w:rsid w:val="00C52547"/>
    <w:rsid w:val="00C525AE"/>
    <w:rsid w:val="00C53190"/>
    <w:rsid w:val="00C5431D"/>
    <w:rsid w:val="00C54538"/>
    <w:rsid w:val="00C55638"/>
    <w:rsid w:val="00C56CAF"/>
    <w:rsid w:val="00C56F00"/>
    <w:rsid w:val="00C578EA"/>
    <w:rsid w:val="00C60261"/>
    <w:rsid w:val="00C618FC"/>
    <w:rsid w:val="00C61AC0"/>
    <w:rsid w:val="00C64C0B"/>
    <w:rsid w:val="00C66051"/>
    <w:rsid w:val="00C67638"/>
    <w:rsid w:val="00C70F84"/>
    <w:rsid w:val="00C710F5"/>
    <w:rsid w:val="00C72B4E"/>
    <w:rsid w:val="00C72ED6"/>
    <w:rsid w:val="00C73008"/>
    <w:rsid w:val="00C7341B"/>
    <w:rsid w:val="00C736FE"/>
    <w:rsid w:val="00C74358"/>
    <w:rsid w:val="00C745CF"/>
    <w:rsid w:val="00C765AE"/>
    <w:rsid w:val="00C76AFC"/>
    <w:rsid w:val="00C76C91"/>
    <w:rsid w:val="00C81399"/>
    <w:rsid w:val="00C8141C"/>
    <w:rsid w:val="00C81E03"/>
    <w:rsid w:val="00C82870"/>
    <w:rsid w:val="00C82EF4"/>
    <w:rsid w:val="00C8445B"/>
    <w:rsid w:val="00C86158"/>
    <w:rsid w:val="00C86D42"/>
    <w:rsid w:val="00C876A7"/>
    <w:rsid w:val="00C90BDD"/>
    <w:rsid w:val="00C921CB"/>
    <w:rsid w:val="00C932E2"/>
    <w:rsid w:val="00C94150"/>
    <w:rsid w:val="00C950C3"/>
    <w:rsid w:val="00C977AC"/>
    <w:rsid w:val="00C97F73"/>
    <w:rsid w:val="00CA0BC4"/>
    <w:rsid w:val="00CA0CB5"/>
    <w:rsid w:val="00CA1C8E"/>
    <w:rsid w:val="00CA24B1"/>
    <w:rsid w:val="00CA4B54"/>
    <w:rsid w:val="00CA4C3F"/>
    <w:rsid w:val="00CA5978"/>
    <w:rsid w:val="00CA5F3D"/>
    <w:rsid w:val="00CA6BB4"/>
    <w:rsid w:val="00CA7748"/>
    <w:rsid w:val="00CA78A5"/>
    <w:rsid w:val="00CB03CB"/>
    <w:rsid w:val="00CB0BBC"/>
    <w:rsid w:val="00CB19CB"/>
    <w:rsid w:val="00CB1F2F"/>
    <w:rsid w:val="00CB27AF"/>
    <w:rsid w:val="00CB3FE3"/>
    <w:rsid w:val="00CB5A2D"/>
    <w:rsid w:val="00CB6958"/>
    <w:rsid w:val="00CB7FEB"/>
    <w:rsid w:val="00CC046D"/>
    <w:rsid w:val="00CC07BF"/>
    <w:rsid w:val="00CC08AD"/>
    <w:rsid w:val="00CC0C35"/>
    <w:rsid w:val="00CC18B8"/>
    <w:rsid w:val="00CC1BA4"/>
    <w:rsid w:val="00CC1F92"/>
    <w:rsid w:val="00CC27C9"/>
    <w:rsid w:val="00CC2A1C"/>
    <w:rsid w:val="00CC3C5F"/>
    <w:rsid w:val="00CC4B0A"/>
    <w:rsid w:val="00CC5710"/>
    <w:rsid w:val="00CC585B"/>
    <w:rsid w:val="00CC5DA6"/>
    <w:rsid w:val="00CC62DB"/>
    <w:rsid w:val="00CD0D05"/>
    <w:rsid w:val="00CD320D"/>
    <w:rsid w:val="00CD34EA"/>
    <w:rsid w:val="00CD3DFB"/>
    <w:rsid w:val="00CD40A1"/>
    <w:rsid w:val="00CD45A9"/>
    <w:rsid w:val="00CD4B5C"/>
    <w:rsid w:val="00CD59D8"/>
    <w:rsid w:val="00CD62AD"/>
    <w:rsid w:val="00CE0504"/>
    <w:rsid w:val="00CE222B"/>
    <w:rsid w:val="00CE2E9D"/>
    <w:rsid w:val="00CE6213"/>
    <w:rsid w:val="00CE7A31"/>
    <w:rsid w:val="00CF1FE3"/>
    <w:rsid w:val="00CF2546"/>
    <w:rsid w:val="00CF2D97"/>
    <w:rsid w:val="00CF3F68"/>
    <w:rsid w:val="00CF488F"/>
    <w:rsid w:val="00CF5B50"/>
    <w:rsid w:val="00CF6682"/>
    <w:rsid w:val="00CF7B13"/>
    <w:rsid w:val="00CF7FF8"/>
    <w:rsid w:val="00D00EB9"/>
    <w:rsid w:val="00D023A5"/>
    <w:rsid w:val="00D03465"/>
    <w:rsid w:val="00D04870"/>
    <w:rsid w:val="00D12BDC"/>
    <w:rsid w:val="00D12C0F"/>
    <w:rsid w:val="00D1606D"/>
    <w:rsid w:val="00D17C89"/>
    <w:rsid w:val="00D20D11"/>
    <w:rsid w:val="00D22081"/>
    <w:rsid w:val="00D268BC"/>
    <w:rsid w:val="00D26B78"/>
    <w:rsid w:val="00D26C4A"/>
    <w:rsid w:val="00D32386"/>
    <w:rsid w:val="00D33779"/>
    <w:rsid w:val="00D353F9"/>
    <w:rsid w:val="00D35EDE"/>
    <w:rsid w:val="00D361D2"/>
    <w:rsid w:val="00D36ADB"/>
    <w:rsid w:val="00D42A89"/>
    <w:rsid w:val="00D42BE2"/>
    <w:rsid w:val="00D432F6"/>
    <w:rsid w:val="00D433DF"/>
    <w:rsid w:val="00D4625E"/>
    <w:rsid w:val="00D50016"/>
    <w:rsid w:val="00D51252"/>
    <w:rsid w:val="00D52287"/>
    <w:rsid w:val="00D524F8"/>
    <w:rsid w:val="00D52E67"/>
    <w:rsid w:val="00D54BF1"/>
    <w:rsid w:val="00D55FB0"/>
    <w:rsid w:val="00D563B0"/>
    <w:rsid w:val="00D56BDA"/>
    <w:rsid w:val="00D570C0"/>
    <w:rsid w:val="00D57474"/>
    <w:rsid w:val="00D60853"/>
    <w:rsid w:val="00D615D4"/>
    <w:rsid w:val="00D62559"/>
    <w:rsid w:val="00D625E2"/>
    <w:rsid w:val="00D629A5"/>
    <w:rsid w:val="00D62C6F"/>
    <w:rsid w:val="00D6314E"/>
    <w:rsid w:val="00D647A6"/>
    <w:rsid w:val="00D64B8C"/>
    <w:rsid w:val="00D65DA7"/>
    <w:rsid w:val="00D67A4B"/>
    <w:rsid w:val="00D67C30"/>
    <w:rsid w:val="00D70E08"/>
    <w:rsid w:val="00D7397C"/>
    <w:rsid w:val="00D75AD2"/>
    <w:rsid w:val="00D77775"/>
    <w:rsid w:val="00D8219A"/>
    <w:rsid w:val="00D83109"/>
    <w:rsid w:val="00D832A4"/>
    <w:rsid w:val="00D83ED1"/>
    <w:rsid w:val="00D85735"/>
    <w:rsid w:val="00D85F1B"/>
    <w:rsid w:val="00D8607A"/>
    <w:rsid w:val="00D86847"/>
    <w:rsid w:val="00D870BE"/>
    <w:rsid w:val="00D875AF"/>
    <w:rsid w:val="00D936C1"/>
    <w:rsid w:val="00D93944"/>
    <w:rsid w:val="00D93EC1"/>
    <w:rsid w:val="00D93FA7"/>
    <w:rsid w:val="00D94744"/>
    <w:rsid w:val="00D95032"/>
    <w:rsid w:val="00D96ECC"/>
    <w:rsid w:val="00D97510"/>
    <w:rsid w:val="00DA2BF2"/>
    <w:rsid w:val="00DA397C"/>
    <w:rsid w:val="00DA3C77"/>
    <w:rsid w:val="00DA502C"/>
    <w:rsid w:val="00DA60F9"/>
    <w:rsid w:val="00DA62E3"/>
    <w:rsid w:val="00DB1512"/>
    <w:rsid w:val="00DB1753"/>
    <w:rsid w:val="00DB1B58"/>
    <w:rsid w:val="00DB2EBD"/>
    <w:rsid w:val="00DB3044"/>
    <w:rsid w:val="00DB427C"/>
    <w:rsid w:val="00DB586C"/>
    <w:rsid w:val="00DB5E49"/>
    <w:rsid w:val="00DC1B1F"/>
    <w:rsid w:val="00DC28DC"/>
    <w:rsid w:val="00DC398C"/>
    <w:rsid w:val="00DC3DCE"/>
    <w:rsid w:val="00DC4275"/>
    <w:rsid w:val="00DC601C"/>
    <w:rsid w:val="00DC657E"/>
    <w:rsid w:val="00DC7E14"/>
    <w:rsid w:val="00DD104E"/>
    <w:rsid w:val="00DD1498"/>
    <w:rsid w:val="00DD25C4"/>
    <w:rsid w:val="00DD2D3A"/>
    <w:rsid w:val="00DD4C16"/>
    <w:rsid w:val="00DD5142"/>
    <w:rsid w:val="00DD7408"/>
    <w:rsid w:val="00DE1541"/>
    <w:rsid w:val="00DE268F"/>
    <w:rsid w:val="00DE403A"/>
    <w:rsid w:val="00DE58F7"/>
    <w:rsid w:val="00DF2A9E"/>
    <w:rsid w:val="00DF2DA7"/>
    <w:rsid w:val="00DF2E7E"/>
    <w:rsid w:val="00DF3813"/>
    <w:rsid w:val="00DF3DFD"/>
    <w:rsid w:val="00DF51B9"/>
    <w:rsid w:val="00DF7D6C"/>
    <w:rsid w:val="00E026C7"/>
    <w:rsid w:val="00E0326F"/>
    <w:rsid w:val="00E03B8D"/>
    <w:rsid w:val="00E03C32"/>
    <w:rsid w:val="00E042CC"/>
    <w:rsid w:val="00E04C85"/>
    <w:rsid w:val="00E06616"/>
    <w:rsid w:val="00E07789"/>
    <w:rsid w:val="00E10417"/>
    <w:rsid w:val="00E10674"/>
    <w:rsid w:val="00E1179C"/>
    <w:rsid w:val="00E129AE"/>
    <w:rsid w:val="00E139A1"/>
    <w:rsid w:val="00E13C07"/>
    <w:rsid w:val="00E14D46"/>
    <w:rsid w:val="00E155C5"/>
    <w:rsid w:val="00E21965"/>
    <w:rsid w:val="00E21B8C"/>
    <w:rsid w:val="00E23D5D"/>
    <w:rsid w:val="00E25A1D"/>
    <w:rsid w:val="00E27789"/>
    <w:rsid w:val="00E329F2"/>
    <w:rsid w:val="00E32B10"/>
    <w:rsid w:val="00E32B27"/>
    <w:rsid w:val="00E32BB6"/>
    <w:rsid w:val="00E35996"/>
    <w:rsid w:val="00E3749F"/>
    <w:rsid w:val="00E37CEC"/>
    <w:rsid w:val="00E40703"/>
    <w:rsid w:val="00E40B94"/>
    <w:rsid w:val="00E426B9"/>
    <w:rsid w:val="00E44114"/>
    <w:rsid w:val="00E45B6B"/>
    <w:rsid w:val="00E46ABE"/>
    <w:rsid w:val="00E47658"/>
    <w:rsid w:val="00E50D3F"/>
    <w:rsid w:val="00E51986"/>
    <w:rsid w:val="00E52C13"/>
    <w:rsid w:val="00E53127"/>
    <w:rsid w:val="00E53526"/>
    <w:rsid w:val="00E548F0"/>
    <w:rsid w:val="00E55041"/>
    <w:rsid w:val="00E55291"/>
    <w:rsid w:val="00E55835"/>
    <w:rsid w:val="00E5584F"/>
    <w:rsid w:val="00E56DBA"/>
    <w:rsid w:val="00E57E82"/>
    <w:rsid w:val="00E601EF"/>
    <w:rsid w:val="00E607DC"/>
    <w:rsid w:val="00E61220"/>
    <w:rsid w:val="00E6165A"/>
    <w:rsid w:val="00E61B1B"/>
    <w:rsid w:val="00E62693"/>
    <w:rsid w:val="00E63840"/>
    <w:rsid w:val="00E651BD"/>
    <w:rsid w:val="00E653F5"/>
    <w:rsid w:val="00E65C6B"/>
    <w:rsid w:val="00E667B7"/>
    <w:rsid w:val="00E67427"/>
    <w:rsid w:val="00E67E2D"/>
    <w:rsid w:val="00E71965"/>
    <w:rsid w:val="00E71BE4"/>
    <w:rsid w:val="00E71E4D"/>
    <w:rsid w:val="00E7364D"/>
    <w:rsid w:val="00E738E4"/>
    <w:rsid w:val="00E73BB3"/>
    <w:rsid w:val="00E744CF"/>
    <w:rsid w:val="00E756B2"/>
    <w:rsid w:val="00E85119"/>
    <w:rsid w:val="00E85435"/>
    <w:rsid w:val="00E865E4"/>
    <w:rsid w:val="00E86BCF"/>
    <w:rsid w:val="00E87BBC"/>
    <w:rsid w:val="00E9375D"/>
    <w:rsid w:val="00E93A73"/>
    <w:rsid w:val="00E93DE9"/>
    <w:rsid w:val="00E94225"/>
    <w:rsid w:val="00E9660C"/>
    <w:rsid w:val="00E97F68"/>
    <w:rsid w:val="00EA0872"/>
    <w:rsid w:val="00EA1038"/>
    <w:rsid w:val="00EA47DA"/>
    <w:rsid w:val="00EA490C"/>
    <w:rsid w:val="00EA4EB8"/>
    <w:rsid w:val="00EA53DA"/>
    <w:rsid w:val="00EA5BF4"/>
    <w:rsid w:val="00EA675D"/>
    <w:rsid w:val="00EB094E"/>
    <w:rsid w:val="00EB5475"/>
    <w:rsid w:val="00EB5BDC"/>
    <w:rsid w:val="00EB5DB9"/>
    <w:rsid w:val="00EB5FD9"/>
    <w:rsid w:val="00EB71CF"/>
    <w:rsid w:val="00EB7A4C"/>
    <w:rsid w:val="00EC08D0"/>
    <w:rsid w:val="00EC0EC6"/>
    <w:rsid w:val="00EC150A"/>
    <w:rsid w:val="00EC41B6"/>
    <w:rsid w:val="00EC4AF4"/>
    <w:rsid w:val="00EC5039"/>
    <w:rsid w:val="00EC70A0"/>
    <w:rsid w:val="00EC7B69"/>
    <w:rsid w:val="00ED0056"/>
    <w:rsid w:val="00ED061C"/>
    <w:rsid w:val="00ED17BA"/>
    <w:rsid w:val="00ED27E3"/>
    <w:rsid w:val="00ED3317"/>
    <w:rsid w:val="00ED564B"/>
    <w:rsid w:val="00ED76F7"/>
    <w:rsid w:val="00ED77BF"/>
    <w:rsid w:val="00EE123A"/>
    <w:rsid w:val="00EE1433"/>
    <w:rsid w:val="00EE2A24"/>
    <w:rsid w:val="00EE30CA"/>
    <w:rsid w:val="00EE3636"/>
    <w:rsid w:val="00EE5929"/>
    <w:rsid w:val="00EE656B"/>
    <w:rsid w:val="00EE6815"/>
    <w:rsid w:val="00EE79D8"/>
    <w:rsid w:val="00EE7D01"/>
    <w:rsid w:val="00EF01B2"/>
    <w:rsid w:val="00EF3CAD"/>
    <w:rsid w:val="00EF4D7C"/>
    <w:rsid w:val="00EF6492"/>
    <w:rsid w:val="00EF78C3"/>
    <w:rsid w:val="00EF7C43"/>
    <w:rsid w:val="00F00007"/>
    <w:rsid w:val="00F00BFE"/>
    <w:rsid w:val="00F02637"/>
    <w:rsid w:val="00F02DAC"/>
    <w:rsid w:val="00F04EF4"/>
    <w:rsid w:val="00F05091"/>
    <w:rsid w:val="00F110F0"/>
    <w:rsid w:val="00F12633"/>
    <w:rsid w:val="00F14189"/>
    <w:rsid w:val="00F152E6"/>
    <w:rsid w:val="00F1705B"/>
    <w:rsid w:val="00F206D7"/>
    <w:rsid w:val="00F20749"/>
    <w:rsid w:val="00F2077A"/>
    <w:rsid w:val="00F207B9"/>
    <w:rsid w:val="00F20F9A"/>
    <w:rsid w:val="00F21015"/>
    <w:rsid w:val="00F21A14"/>
    <w:rsid w:val="00F2259F"/>
    <w:rsid w:val="00F22860"/>
    <w:rsid w:val="00F247DE"/>
    <w:rsid w:val="00F254AE"/>
    <w:rsid w:val="00F26021"/>
    <w:rsid w:val="00F26BD5"/>
    <w:rsid w:val="00F2729D"/>
    <w:rsid w:val="00F275B3"/>
    <w:rsid w:val="00F30476"/>
    <w:rsid w:val="00F31529"/>
    <w:rsid w:val="00F32441"/>
    <w:rsid w:val="00F331A7"/>
    <w:rsid w:val="00F332C0"/>
    <w:rsid w:val="00F33B5B"/>
    <w:rsid w:val="00F33CCD"/>
    <w:rsid w:val="00F33CDB"/>
    <w:rsid w:val="00F33EB0"/>
    <w:rsid w:val="00F33FA4"/>
    <w:rsid w:val="00F34ACC"/>
    <w:rsid w:val="00F35569"/>
    <w:rsid w:val="00F37111"/>
    <w:rsid w:val="00F375AD"/>
    <w:rsid w:val="00F3764C"/>
    <w:rsid w:val="00F40754"/>
    <w:rsid w:val="00F421D5"/>
    <w:rsid w:val="00F438B8"/>
    <w:rsid w:val="00F44665"/>
    <w:rsid w:val="00F459AF"/>
    <w:rsid w:val="00F466D3"/>
    <w:rsid w:val="00F52B42"/>
    <w:rsid w:val="00F53EAA"/>
    <w:rsid w:val="00F562FD"/>
    <w:rsid w:val="00F56852"/>
    <w:rsid w:val="00F57A26"/>
    <w:rsid w:val="00F601FC"/>
    <w:rsid w:val="00F61881"/>
    <w:rsid w:val="00F61AD3"/>
    <w:rsid w:val="00F6268C"/>
    <w:rsid w:val="00F628FE"/>
    <w:rsid w:val="00F62E22"/>
    <w:rsid w:val="00F6337F"/>
    <w:rsid w:val="00F64038"/>
    <w:rsid w:val="00F643D7"/>
    <w:rsid w:val="00F66609"/>
    <w:rsid w:val="00F6669C"/>
    <w:rsid w:val="00F66A91"/>
    <w:rsid w:val="00F6736E"/>
    <w:rsid w:val="00F714FF"/>
    <w:rsid w:val="00F724FB"/>
    <w:rsid w:val="00F7254B"/>
    <w:rsid w:val="00F74674"/>
    <w:rsid w:val="00F754AC"/>
    <w:rsid w:val="00F7573C"/>
    <w:rsid w:val="00F75ED3"/>
    <w:rsid w:val="00F77527"/>
    <w:rsid w:val="00F777F7"/>
    <w:rsid w:val="00F779A8"/>
    <w:rsid w:val="00F809BA"/>
    <w:rsid w:val="00F85218"/>
    <w:rsid w:val="00F8528E"/>
    <w:rsid w:val="00F85821"/>
    <w:rsid w:val="00F86B22"/>
    <w:rsid w:val="00F870DA"/>
    <w:rsid w:val="00F918D0"/>
    <w:rsid w:val="00F9391C"/>
    <w:rsid w:val="00F94B49"/>
    <w:rsid w:val="00F94CFC"/>
    <w:rsid w:val="00F9559A"/>
    <w:rsid w:val="00F97146"/>
    <w:rsid w:val="00F97D49"/>
    <w:rsid w:val="00FA0543"/>
    <w:rsid w:val="00FA07EF"/>
    <w:rsid w:val="00FA15D3"/>
    <w:rsid w:val="00FA5EC8"/>
    <w:rsid w:val="00FA655D"/>
    <w:rsid w:val="00FB0883"/>
    <w:rsid w:val="00FB0FEB"/>
    <w:rsid w:val="00FB10C1"/>
    <w:rsid w:val="00FB1166"/>
    <w:rsid w:val="00FB2509"/>
    <w:rsid w:val="00FB2D57"/>
    <w:rsid w:val="00FB31C0"/>
    <w:rsid w:val="00FB3FEF"/>
    <w:rsid w:val="00FB58B9"/>
    <w:rsid w:val="00FC1D25"/>
    <w:rsid w:val="00FC2767"/>
    <w:rsid w:val="00FC37D1"/>
    <w:rsid w:val="00FC6176"/>
    <w:rsid w:val="00FD1F0A"/>
    <w:rsid w:val="00FD2479"/>
    <w:rsid w:val="00FD34BD"/>
    <w:rsid w:val="00FD4129"/>
    <w:rsid w:val="00FD5569"/>
    <w:rsid w:val="00FD65BA"/>
    <w:rsid w:val="00FD684C"/>
    <w:rsid w:val="00FD7882"/>
    <w:rsid w:val="00FD7909"/>
    <w:rsid w:val="00FE01C7"/>
    <w:rsid w:val="00FE089B"/>
    <w:rsid w:val="00FE0AA0"/>
    <w:rsid w:val="00FE0AEB"/>
    <w:rsid w:val="00FE2205"/>
    <w:rsid w:val="00FE46AB"/>
    <w:rsid w:val="00FE4E8A"/>
    <w:rsid w:val="00FE5B56"/>
    <w:rsid w:val="00FE5E5E"/>
    <w:rsid w:val="00FE7C47"/>
    <w:rsid w:val="00FF00BA"/>
    <w:rsid w:val="00FF049C"/>
    <w:rsid w:val="00FF08A5"/>
    <w:rsid w:val="00FF0DA7"/>
    <w:rsid w:val="00FF16B1"/>
    <w:rsid w:val="00FF1730"/>
    <w:rsid w:val="00FF62E9"/>
    <w:rsid w:val="00FF6E7D"/>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80C9"/>
  <w15:chartTrackingRefBased/>
  <w15:docId w15:val="{410097D6-F1E6-4996-A3E1-7492C753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D24"/>
    <w:pPr>
      <w:spacing w:before="120" w:after="120" w:line="276" w:lineRule="auto"/>
      <w:ind w:firstLine="708"/>
      <w:jc w:val="both"/>
    </w:pPr>
    <w:rPr>
      <w:rFonts w:ascii="GHEA Grapalat" w:eastAsia="SimSun" w:hAnsi="GHEA Grapalat" w:cs="Times New Roman"/>
      <w:sz w:val="24"/>
      <w:lang w:val="en-US"/>
    </w:rPr>
  </w:style>
  <w:style w:type="paragraph" w:styleId="Heading1">
    <w:name w:val="heading 1"/>
    <w:basedOn w:val="Normal"/>
    <w:next w:val="Normal"/>
    <w:link w:val="Heading1Char"/>
    <w:uiPriority w:val="9"/>
    <w:qFormat/>
    <w:rsid w:val="009B7D24"/>
    <w:pPr>
      <w:numPr>
        <w:numId w:val="1"/>
      </w:numPr>
      <w:spacing w:before="0" w:line="240" w:lineRule="auto"/>
      <w:ind w:right="29"/>
      <w:jc w:val="center"/>
      <w:outlineLvl w:val="0"/>
    </w:pPr>
    <w:rPr>
      <w:rFonts w:cs="Sylfaen"/>
      <w:b/>
      <w:bCs/>
      <w:color w:val="000000"/>
      <w:sz w:val="28"/>
      <w:szCs w:val="28"/>
      <w:lang w:val="ru-RU"/>
    </w:rPr>
  </w:style>
  <w:style w:type="paragraph" w:styleId="Heading2">
    <w:name w:val="heading 2"/>
    <w:basedOn w:val="Normal"/>
    <w:next w:val="Normal"/>
    <w:link w:val="Heading2Char"/>
    <w:uiPriority w:val="9"/>
    <w:unhideWhenUsed/>
    <w:qFormat/>
    <w:rsid w:val="009B7D24"/>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7D24"/>
    <w:pPr>
      <w:keepNext/>
      <w:keepLines/>
      <w:numPr>
        <w:ilvl w:val="2"/>
        <w:numId w:val="2"/>
      </w:numPr>
      <w:spacing w:before="40" w:after="0" w:line="240" w:lineRule="auto"/>
      <w:outlineLvl w:val="2"/>
    </w:pPr>
    <w:rPr>
      <w:b/>
      <w:i/>
      <w:sz w:val="20"/>
      <w:szCs w:val="24"/>
      <w:lang w:val="x-none" w:eastAsia="x-none"/>
    </w:rPr>
  </w:style>
  <w:style w:type="paragraph" w:styleId="Heading4">
    <w:name w:val="heading 4"/>
    <w:basedOn w:val="Normal"/>
    <w:next w:val="Normal"/>
    <w:link w:val="Heading4Char"/>
    <w:uiPriority w:val="9"/>
    <w:semiHidden/>
    <w:unhideWhenUsed/>
    <w:qFormat/>
    <w:rsid w:val="009B7D24"/>
    <w:pPr>
      <w:keepNext/>
      <w:keepLines/>
      <w:numPr>
        <w:ilvl w:val="3"/>
        <w:numId w:val="2"/>
      </w:numPr>
      <w:spacing w:before="40" w:after="0" w:line="240" w:lineRule="auto"/>
      <w:outlineLvl w:val="3"/>
    </w:pPr>
    <w:rPr>
      <w:rFonts w:ascii="Calibri Light" w:eastAsia="Times New Roman" w:hAnsi="Calibri Light"/>
      <w:i/>
      <w:iCs/>
      <w:color w:val="2E74B5"/>
      <w:sz w:val="20"/>
      <w:szCs w:val="20"/>
      <w:lang w:val="x-none" w:eastAsia="x-none"/>
    </w:rPr>
  </w:style>
  <w:style w:type="paragraph" w:styleId="Heading5">
    <w:name w:val="heading 5"/>
    <w:basedOn w:val="Normal"/>
    <w:next w:val="Normal"/>
    <w:link w:val="Heading5Char"/>
    <w:uiPriority w:val="9"/>
    <w:semiHidden/>
    <w:unhideWhenUsed/>
    <w:qFormat/>
    <w:rsid w:val="009B7D24"/>
    <w:pPr>
      <w:keepNext/>
      <w:keepLines/>
      <w:numPr>
        <w:ilvl w:val="4"/>
        <w:numId w:val="2"/>
      </w:numPr>
      <w:spacing w:before="40" w:after="0" w:line="240" w:lineRule="auto"/>
      <w:outlineLvl w:val="4"/>
    </w:pPr>
    <w:rPr>
      <w:rFonts w:ascii="Calibri Light" w:eastAsia="Times New Roman" w:hAnsi="Calibri Light"/>
      <w:color w:val="2E74B5"/>
      <w:sz w:val="20"/>
      <w:szCs w:val="20"/>
      <w:lang w:val="x-none" w:eastAsia="x-none"/>
    </w:rPr>
  </w:style>
  <w:style w:type="paragraph" w:styleId="Heading6">
    <w:name w:val="heading 6"/>
    <w:basedOn w:val="Normal"/>
    <w:next w:val="Normal"/>
    <w:link w:val="Heading6Char"/>
    <w:uiPriority w:val="9"/>
    <w:semiHidden/>
    <w:unhideWhenUsed/>
    <w:qFormat/>
    <w:rsid w:val="009B7D24"/>
    <w:pPr>
      <w:keepNext/>
      <w:keepLines/>
      <w:numPr>
        <w:ilvl w:val="5"/>
        <w:numId w:val="2"/>
      </w:numPr>
      <w:spacing w:before="40" w:after="0" w:line="240" w:lineRule="auto"/>
      <w:outlineLvl w:val="5"/>
    </w:pPr>
    <w:rPr>
      <w:rFonts w:ascii="Calibri Light" w:eastAsia="Times New Roman" w:hAnsi="Calibri Light"/>
      <w:color w:val="1F4D78"/>
      <w:sz w:val="20"/>
      <w:szCs w:val="20"/>
      <w:lang w:val="x-none" w:eastAsia="x-none"/>
    </w:rPr>
  </w:style>
  <w:style w:type="paragraph" w:styleId="Heading7">
    <w:name w:val="heading 7"/>
    <w:basedOn w:val="Normal"/>
    <w:next w:val="Normal"/>
    <w:link w:val="Heading7Char"/>
    <w:uiPriority w:val="9"/>
    <w:semiHidden/>
    <w:unhideWhenUsed/>
    <w:qFormat/>
    <w:rsid w:val="009B7D24"/>
    <w:pPr>
      <w:keepNext/>
      <w:keepLines/>
      <w:numPr>
        <w:ilvl w:val="6"/>
        <w:numId w:val="2"/>
      </w:numPr>
      <w:spacing w:before="40" w:after="0" w:line="240" w:lineRule="auto"/>
      <w:outlineLvl w:val="6"/>
    </w:pPr>
    <w:rPr>
      <w:rFonts w:ascii="Calibri Light" w:eastAsia="Times New Roman" w:hAnsi="Calibri Light"/>
      <w:i/>
      <w:iCs/>
      <w:color w:val="1F4D78"/>
      <w:sz w:val="20"/>
      <w:szCs w:val="20"/>
      <w:lang w:val="x-none" w:eastAsia="x-none"/>
    </w:rPr>
  </w:style>
  <w:style w:type="paragraph" w:styleId="Heading8">
    <w:name w:val="heading 8"/>
    <w:basedOn w:val="Normal"/>
    <w:next w:val="Normal"/>
    <w:link w:val="Heading8Char"/>
    <w:uiPriority w:val="9"/>
    <w:semiHidden/>
    <w:unhideWhenUsed/>
    <w:qFormat/>
    <w:rsid w:val="009B7D24"/>
    <w:pPr>
      <w:keepNext/>
      <w:keepLines/>
      <w:numPr>
        <w:ilvl w:val="7"/>
        <w:numId w:val="2"/>
      </w:numPr>
      <w:spacing w:before="40" w:after="0" w:line="240" w:lineRule="auto"/>
      <w:outlineLvl w:val="7"/>
    </w:pPr>
    <w:rPr>
      <w:rFonts w:ascii="Calibri Light" w:eastAsia="Times New Roman"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9B7D24"/>
    <w:pPr>
      <w:keepNext/>
      <w:keepLines/>
      <w:numPr>
        <w:ilvl w:val="8"/>
        <w:numId w:val="2"/>
      </w:numPr>
      <w:spacing w:before="40" w:after="0" w:line="240" w:lineRule="auto"/>
      <w:outlineLvl w:val="8"/>
    </w:pPr>
    <w:rPr>
      <w:rFonts w:ascii="Calibri Light" w:eastAsia="Times New Roman"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24"/>
    <w:rPr>
      <w:rFonts w:ascii="GHEA Grapalat" w:eastAsia="SimSun" w:hAnsi="GHEA Grapalat" w:cs="Sylfaen"/>
      <w:b/>
      <w:bCs/>
      <w:color w:val="000000"/>
      <w:sz w:val="28"/>
      <w:szCs w:val="28"/>
    </w:rPr>
  </w:style>
  <w:style w:type="character" w:customStyle="1" w:styleId="Heading2Char">
    <w:name w:val="Heading 2 Char"/>
    <w:basedOn w:val="DefaultParagraphFont"/>
    <w:link w:val="Heading2"/>
    <w:uiPriority w:val="9"/>
    <w:rsid w:val="009B7D2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B7D24"/>
    <w:rPr>
      <w:rFonts w:ascii="GHEA Grapalat" w:eastAsia="SimSun" w:hAnsi="GHEA Grapalat" w:cs="Times New Roman"/>
      <w:b/>
      <w:i/>
      <w:sz w:val="20"/>
      <w:szCs w:val="24"/>
      <w:lang w:val="x-none" w:eastAsia="x-none"/>
    </w:rPr>
  </w:style>
  <w:style w:type="character" w:customStyle="1" w:styleId="Heading4Char">
    <w:name w:val="Heading 4 Char"/>
    <w:basedOn w:val="DefaultParagraphFont"/>
    <w:link w:val="Heading4"/>
    <w:uiPriority w:val="9"/>
    <w:semiHidden/>
    <w:rsid w:val="009B7D24"/>
    <w:rPr>
      <w:rFonts w:ascii="Calibri Light" w:eastAsia="Times New Roman" w:hAnsi="Calibri Light" w:cs="Times New Roman"/>
      <w:i/>
      <w:iCs/>
      <w:color w:val="2E74B5"/>
      <w:sz w:val="20"/>
      <w:szCs w:val="20"/>
      <w:lang w:val="x-none" w:eastAsia="x-none"/>
    </w:rPr>
  </w:style>
  <w:style w:type="character" w:customStyle="1" w:styleId="Heading5Char">
    <w:name w:val="Heading 5 Char"/>
    <w:basedOn w:val="DefaultParagraphFont"/>
    <w:link w:val="Heading5"/>
    <w:uiPriority w:val="9"/>
    <w:semiHidden/>
    <w:rsid w:val="009B7D24"/>
    <w:rPr>
      <w:rFonts w:ascii="Calibri Light" w:eastAsia="Times New Roman" w:hAnsi="Calibri Light" w:cs="Times New Roman"/>
      <w:color w:val="2E74B5"/>
      <w:sz w:val="20"/>
      <w:szCs w:val="20"/>
      <w:lang w:val="x-none" w:eastAsia="x-none"/>
    </w:rPr>
  </w:style>
  <w:style w:type="character" w:customStyle="1" w:styleId="Heading6Char">
    <w:name w:val="Heading 6 Char"/>
    <w:basedOn w:val="DefaultParagraphFont"/>
    <w:link w:val="Heading6"/>
    <w:uiPriority w:val="9"/>
    <w:semiHidden/>
    <w:rsid w:val="009B7D24"/>
    <w:rPr>
      <w:rFonts w:ascii="Calibri Light" w:eastAsia="Times New Roman" w:hAnsi="Calibri Light" w:cs="Times New Roman"/>
      <w:color w:val="1F4D78"/>
      <w:sz w:val="20"/>
      <w:szCs w:val="20"/>
      <w:lang w:val="x-none" w:eastAsia="x-none"/>
    </w:rPr>
  </w:style>
  <w:style w:type="character" w:customStyle="1" w:styleId="Heading7Char">
    <w:name w:val="Heading 7 Char"/>
    <w:basedOn w:val="DefaultParagraphFont"/>
    <w:link w:val="Heading7"/>
    <w:uiPriority w:val="9"/>
    <w:semiHidden/>
    <w:rsid w:val="009B7D24"/>
    <w:rPr>
      <w:rFonts w:ascii="Calibri Light" w:eastAsia="Times New Roman" w:hAnsi="Calibri Light" w:cs="Times New Roman"/>
      <w:i/>
      <w:iCs/>
      <w:color w:val="1F4D78"/>
      <w:sz w:val="20"/>
      <w:szCs w:val="20"/>
      <w:lang w:val="x-none" w:eastAsia="x-none"/>
    </w:rPr>
  </w:style>
  <w:style w:type="character" w:customStyle="1" w:styleId="Heading8Char">
    <w:name w:val="Heading 8 Char"/>
    <w:basedOn w:val="DefaultParagraphFont"/>
    <w:link w:val="Heading8"/>
    <w:uiPriority w:val="9"/>
    <w:semiHidden/>
    <w:rsid w:val="009B7D24"/>
    <w:rPr>
      <w:rFonts w:ascii="Calibri Light" w:eastAsia="Times New Roman"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9B7D24"/>
    <w:rPr>
      <w:rFonts w:ascii="Calibri Light" w:eastAsia="Times New Roman" w:hAnsi="Calibri Light" w:cs="Times New Roman"/>
      <w:i/>
      <w:iCs/>
      <w:color w:val="272727"/>
      <w:sz w:val="21"/>
      <w:szCs w:val="21"/>
      <w:lang w:val="x-none" w:eastAsia="x-none"/>
    </w:rPr>
  </w:style>
  <w:style w:type="paragraph" w:styleId="Header">
    <w:name w:val="header"/>
    <w:basedOn w:val="Normal"/>
    <w:link w:val="HeaderChar"/>
    <w:uiPriority w:val="99"/>
    <w:unhideWhenUsed/>
    <w:rsid w:val="009B7D24"/>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9B7D24"/>
    <w:rPr>
      <w:rFonts w:ascii="GHEA Grapalat" w:eastAsia="SimSun" w:hAnsi="GHEA Grapalat" w:cs="Times New Roman"/>
      <w:sz w:val="20"/>
      <w:szCs w:val="20"/>
      <w:lang w:val="en-US" w:eastAsia="x-none"/>
    </w:rPr>
  </w:style>
  <w:style w:type="paragraph" w:styleId="Footer">
    <w:name w:val="footer"/>
    <w:basedOn w:val="Normal"/>
    <w:link w:val="FooterChar"/>
    <w:uiPriority w:val="99"/>
    <w:unhideWhenUsed/>
    <w:rsid w:val="009B7D24"/>
    <w:pPr>
      <w:tabs>
        <w:tab w:val="center" w:pos="4677"/>
        <w:tab w:val="right" w:pos="9355"/>
      </w:tabs>
      <w:spacing w:after="0" w:line="240" w:lineRule="auto"/>
    </w:pPr>
    <w:rPr>
      <w:sz w:val="20"/>
      <w:szCs w:val="20"/>
      <w:lang w:eastAsia="x-none"/>
    </w:rPr>
  </w:style>
  <w:style w:type="character" w:customStyle="1" w:styleId="FooterChar">
    <w:name w:val="Footer Char"/>
    <w:basedOn w:val="DefaultParagraphFont"/>
    <w:link w:val="Footer"/>
    <w:uiPriority w:val="99"/>
    <w:rsid w:val="009B7D24"/>
    <w:rPr>
      <w:rFonts w:ascii="GHEA Grapalat" w:eastAsia="SimSun" w:hAnsi="GHEA Grapalat" w:cs="Times New Roman"/>
      <w:sz w:val="20"/>
      <w:szCs w:val="20"/>
      <w:lang w:val="en-US" w:eastAsia="x-none"/>
    </w:rPr>
  </w:style>
  <w:style w:type="table" w:styleId="TableGrid">
    <w:name w:val="Table Grid"/>
    <w:basedOn w:val="TableNormal"/>
    <w:uiPriority w:val="39"/>
    <w:rsid w:val="009B7D24"/>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2A06"/>
    <w:pPr>
      <w:spacing w:line="240" w:lineRule="auto"/>
    </w:pPr>
    <w:rPr>
      <w:color w:val="0070C0"/>
      <w:sz w:val="28"/>
      <w:szCs w:val="20"/>
      <w:lang w:eastAsia="x-none"/>
    </w:rPr>
  </w:style>
  <w:style w:type="character" w:customStyle="1" w:styleId="CommentTextChar">
    <w:name w:val="Comment Text Char"/>
    <w:basedOn w:val="DefaultParagraphFont"/>
    <w:link w:val="CommentText"/>
    <w:uiPriority w:val="99"/>
    <w:rsid w:val="00B92A06"/>
    <w:rPr>
      <w:rFonts w:ascii="GHEA Grapalat" w:eastAsia="SimSun" w:hAnsi="GHEA Grapalat" w:cs="Times New Roman"/>
      <w:color w:val="0070C0"/>
      <w:sz w:val="28"/>
      <w:szCs w:val="20"/>
      <w:lang w:val="en-US" w:eastAsia="x-none"/>
    </w:rPr>
  </w:style>
  <w:style w:type="paragraph" w:styleId="FootnoteText">
    <w:name w:val="footnote text"/>
    <w:basedOn w:val="Normal"/>
    <w:link w:val="FootnoteTextChar"/>
    <w:uiPriority w:val="99"/>
    <w:semiHidden/>
    <w:unhideWhenUsed/>
    <w:rsid w:val="009B7D24"/>
    <w:pPr>
      <w:spacing w:after="0" w:line="240" w:lineRule="auto"/>
    </w:pPr>
    <w:rPr>
      <w:sz w:val="20"/>
      <w:szCs w:val="20"/>
      <w:lang w:eastAsia="x-none"/>
    </w:rPr>
  </w:style>
  <w:style w:type="character" w:customStyle="1" w:styleId="FootnoteTextChar">
    <w:name w:val="Footnote Text Char"/>
    <w:basedOn w:val="DefaultParagraphFont"/>
    <w:link w:val="FootnoteText"/>
    <w:uiPriority w:val="99"/>
    <w:semiHidden/>
    <w:rsid w:val="009B7D24"/>
    <w:rPr>
      <w:rFonts w:ascii="GHEA Grapalat" w:eastAsia="SimSun" w:hAnsi="GHEA Grapalat" w:cs="Times New Roman"/>
      <w:sz w:val="20"/>
      <w:szCs w:val="20"/>
      <w:lang w:val="en-US" w:eastAsia="x-none"/>
    </w:rPr>
  </w:style>
  <w:style w:type="paragraph" w:styleId="TOCHeading">
    <w:name w:val="TOC Heading"/>
    <w:basedOn w:val="Heading1"/>
    <w:next w:val="Normal"/>
    <w:uiPriority w:val="39"/>
    <w:unhideWhenUsed/>
    <w:qFormat/>
    <w:rsid w:val="009B7D24"/>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TOC1">
    <w:name w:val="toc 1"/>
    <w:basedOn w:val="Normal"/>
    <w:next w:val="Normal"/>
    <w:autoRedefine/>
    <w:uiPriority w:val="39"/>
    <w:unhideWhenUsed/>
    <w:rsid w:val="002862E5"/>
    <w:pPr>
      <w:tabs>
        <w:tab w:val="left" w:pos="360"/>
        <w:tab w:val="right" w:leader="dot" w:pos="9288"/>
      </w:tabs>
      <w:ind w:firstLine="0"/>
    </w:pPr>
    <w:rPr>
      <w:noProof/>
    </w:rPr>
  </w:style>
  <w:style w:type="paragraph" w:styleId="TOC2">
    <w:name w:val="toc 2"/>
    <w:basedOn w:val="Normal"/>
    <w:next w:val="Normal"/>
    <w:autoRedefine/>
    <w:uiPriority w:val="39"/>
    <w:unhideWhenUsed/>
    <w:rsid w:val="009B7D24"/>
    <w:pPr>
      <w:tabs>
        <w:tab w:val="left" w:pos="1540"/>
        <w:tab w:val="right" w:leader="dot" w:pos="9288"/>
      </w:tabs>
      <w:ind w:left="240" w:firstLine="120"/>
    </w:pPr>
  </w:style>
  <w:style w:type="character" w:styleId="Hyperlink">
    <w:name w:val="Hyperlink"/>
    <w:uiPriority w:val="99"/>
    <w:unhideWhenUsed/>
    <w:rsid w:val="009B7D24"/>
    <w:rPr>
      <w:color w:val="0563C1"/>
      <w:u w:val="single"/>
    </w:rPr>
  </w:style>
  <w:style w:type="character" w:styleId="Strong">
    <w:name w:val="Strong"/>
    <w:uiPriority w:val="22"/>
    <w:qFormat/>
    <w:rsid w:val="009B7D24"/>
    <w:rPr>
      <w:b/>
      <w:bCs/>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9B7D24"/>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locked/>
    <w:rsid w:val="009B7D24"/>
    <w:rPr>
      <w:lang w:val="en-US"/>
    </w:rPr>
  </w:style>
  <w:style w:type="paragraph" w:styleId="BodyText">
    <w:name w:val="Body Text"/>
    <w:basedOn w:val="Normal"/>
    <w:link w:val="BodyTextChar"/>
    <w:uiPriority w:val="99"/>
    <w:unhideWhenUsed/>
    <w:qFormat/>
    <w:rsid w:val="009B7D24"/>
    <w:pPr>
      <w:spacing w:before="0" w:after="0" w:line="240" w:lineRule="auto"/>
      <w:ind w:firstLine="0"/>
      <w:jc w:val="center"/>
    </w:pPr>
    <w:rPr>
      <w:rFonts w:ascii="Arial Armenian" w:eastAsia="Times New Roman" w:hAnsi="Arial Armenian"/>
      <w:szCs w:val="24"/>
    </w:rPr>
  </w:style>
  <w:style w:type="character" w:customStyle="1" w:styleId="BodyTextChar">
    <w:name w:val="Body Text Char"/>
    <w:basedOn w:val="DefaultParagraphFont"/>
    <w:link w:val="BodyText"/>
    <w:uiPriority w:val="99"/>
    <w:rsid w:val="009B7D24"/>
    <w:rPr>
      <w:rFonts w:ascii="Arial Armenian" w:eastAsia="Times New Roman" w:hAnsi="Arial Armenian" w:cs="Times New Roman"/>
      <w:sz w:val="24"/>
      <w:szCs w:val="24"/>
      <w:lang w:val="en-US"/>
    </w:rPr>
  </w:style>
  <w:style w:type="paragraph" w:styleId="NormalWeb">
    <w:name w:val="Normal (Web)"/>
    <w:basedOn w:val="Normal"/>
    <w:uiPriority w:val="99"/>
    <w:unhideWhenUsed/>
    <w:rsid w:val="009B7D24"/>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sid w:val="009B7D24"/>
    <w:rPr>
      <w:rFonts w:ascii="Segoe UI" w:eastAsia="SimSun" w:hAnsi="Segoe UI" w:cs="Segoe UI"/>
      <w:sz w:val="18"/>
      <w:szCs w:val="18"/>
      <w:lang w:val="en-US"/>
    </w:rPr>
  </w:style>
  <w:style w:type="paragraph" w:styleId="BalloonText">
    <w:name w:val="Balloon Text"/>
    <w:basedOn w:val="Normal"/>
    <w:link w:val="BalloonTextChar"/>
    <w:uiPriority w:val="99"/>
    <w:semiHidden/>
    <w:unhideWhenUsed/>
    <w:rsid w:val="009B7D24"/>
    <w:pPr>
      <w:spacing w:before="0"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B7D24"/>
    <w:rPr>
      <w:rFonts w:ascii="GHEA Grapalat" w:eastAsia="SimSun" w:hAnsi="GHEA Grapalat" w:cs="Times New Roman"/>
      <w:b/>
      <w:bCs/>
      <w:color w:val="0070C0"/>
      <w:sz w:val="20"/>
      <w:szCs w:val="20"/>
      <w:lang w:val="en-US" w:eastAsia="x-none"/>
    </w:rPr>
  </w:style>
  <w:style w:type="paragraph" w:styleId="CommentSubject">
    <w:name w:val="annotation subject"/>
    <w:basedOn w:val="CommentText"/>
    <w:next w:val="CommentText"/>
    <w:link w:val="CommentSubjectChar"/>
    <w:uiPriority w:val="99"/>
    <w:semiHidden/>
    <w:unhideWhenUsed/>
    <w:rsid w:val="009B7D24"/>
    <w:rPr>
      <w:b/>
      <w:bCs/>
      <w:lang w:eastAsia="en-US"/>
    </w:rPr>
  </w:style>
  <w:style w:type="character" w:customStyle="1" w:styleId="longtext1">
    <w:name w:val="long_text1"/>
    <w:rsid w:val="009B7D24"/>
    <w:rPr>
      <w:rFonts w:cs="Times New Roman"/>
      <w:sz w:val="20"/>
      <w:szCs w:val="20"/>
    </w:rPr>
  </w:style>
  <w:style w:type="paragraph" w:styleId="NoSpacing">
    <w:name w:val="No Spacing"/>
    <w:uiPriority w:val="1"/>
    <w:qFormat/>
    <w:rsid w:val="009B7D24"/>
    <w:pPr>
      <w:spacing w:after="0" w:line="240" w:lineRule="auto"/>
    </w:pPr>
    <w:rPr>
      <w:lang w:val="en-US"/>
    </w:rPr>
  </w:style>
  <w:style w:type="character" w:customStyle="1" w:styleId="EndnoteTextChar">
    <w:name w:val="Endnote Text Char"/>
    <w:basedOn w:val="DefaultParagraphFont"/>
    <w:link w:val="EndnoteText"/>
    <w:uiPriority w:val="99"/>
    <w:semiHidden/>
    <w:rsid w:val="009B7D24"/>
    <w:rPr>
      <w:sz w:val="20"/>
      <w:szCs w:val="20"/>
      <w:lang w:val="en-US"/>
    </w:rPr>
  </w:style>
  <w:style w:type="paragraph" w:styleId="EndnoteText">
    <w:name w:val="endnote text"/>
    <w:basedOn w:val="Normal"/>
    <w:link w:val="EndnoteTextChar"/>
    <w:uiPriority w:val="99"/>
    <w:semiHidden/>
    <w:unhideWhenUsed/>
    <w:rsid w:val="009B7D24"/>
    <w:pPr>
      <w:spacing w:before="0" w:after="0" w:line="240" w:lineRule="auto"/>
      <w:ind w:firstLine="0"/>
      <w:jc w:val="left"/>
    </w:pPr>
    <w:rPr>
      <w:rFonts w:asciiTheme="minorHAnsi" w:eastAsiaTheme="minorHAnsi" w:hAnsiTheme="minorHAnsi" w:cstheme="minorBidi"/>
      <w:sz w:val="20"/>
      <w:szCs w:val="20"/>
    </w:rPr>
  </w:style>
  <w:style w:type="character" w:styleId="Emphasis">
    <w:name w:val="Emphasis"/>
    <w:basedOn w:val="DefaultParagraphFont"/>
    <w:uiPriority w:val="20"/>
    <w:qFormat/>
    <w:rsid w:val="009B7D24"/>
    <w:rPr>
      <w:i/>
      <w:iCs/>
    </w:rPr>
  </w:style>
  <w:style w:type="character" w:styleId="FootnoteReference">
    <w:name w:val="footnote reference"/>
    <w:basedOn w:val="DefaultParagraphFont"/>
    <w:uiPriority w:val="99"/>
    <w:semiHidden/>
    <w:unhideWhenUsed/>
    <w:rsid w:val="00056CD5"/>
    <w:rPr>
      <w:vertAlign w:val="superscript"/>
    </w:rPr>
  </w:style>
  <w:style w:type="character" w:customStyle="1" w:styleId="Tablecaption">
    <w:name w:val="Table caption_"/>
    <w:basedOn w:val="DefaultParagraphFont"/>
    <w:link w:val="Tablecaption0"/>
    <w:rsid w:val="00763FCD"/>
    <w:rPr>
      <w:rFonts w:ascii="Cambria" w:eastAsia="Cambria" w:hAnsi="Cambria" w:cs="Cambria"/>
      <w:color w:val="514D52"/>
      <w:sz w:val="20"/>
      <w:szCs w:val="20"/>
    </w:rPr>
  </w:style>
  <w:style w:type="paragraph" w:customStyle="1" w:styleId="Tablecaption0">
    <w:name w:val="Table caption"/>
    <w:basedOn w:val="Normal"/>
    <w:link w:val="Tablecaption"/>
    <w:rsid w:val="00763FCD"/>
    <w:pPr>
      <w:widowControl w:val="0"/>
      <w:spacing w:before="0" w:after="0" w:line="240" w:lineRule="auto"/>
      <w:ind w:firstLine="0"/>
      <w:jc w:val="left"/>
    </w:pPr>
    <w:rPr>
      <w:rFonts w:ascii="Cambria" w:eastAsia="Cambria" w:hAnsi="Cambria" w:cs="Cambria"/>
      <w:color w:val="514D52"/>
      <w:sz w:val="20"/>
      <w:szCs w:val="20"/>
      <w:lang w:val="ru-RU"/>
    </w:rPr>
  </w:style>
  <w:style w:type="character" w:customStyle="1" w:styleId="Other">
    <w:name w:val="Other_"/>
    <w:basedOn w:val="DefaultParagraphFont"/>
    <w:link w:val="Other0"/>
    <w:rsid w:val="00763FCD"/>
    <w:rPr>
      <w:rFonts w:ascii="Cambria" w:eastAsia="Cambria" w:hAnsi="Cambria" w:cs="Cambria"/>
      <w:color w:val="514D52"/>
      <w:sz w:val="20"/>
      <w:szCs w:val="20"/>
    </w:rPr>
  </w:style>
  <w:style w:type="paragraph" w:customStyle="1" w:styleId="Other0">
    <w:name w:val="Other"/>
    <w:basedOn w:val="Normal"/>
    <w:link w:val="Other"/>
    <w:rsid w:val="00763FCD"/>
    <w:pPr>
      <w:widowControl w:val="0"/>
      <w:spacing w:before="0" w:after="0" w:line="240" w:lineRule="auto"/>
      <w:ind w:firstLine="180"/>
      <w:jc w:val="left"/>
    </w:pPr>
    <w:rPr>
      <w:rFonts w:ascii="Cambria" w:eastAsia="Cambria" w:hAnsi="Cambria" w:cs="Cambria"/>
      <w:color w:val="514D52"/>
      <w:sz w:val="20"/>
      <w:szCs w:val="20"/>
      <w:lang w:val="ru-RU"/>
    </w:rPr>
  </w:style>
  <w:style w:type="character" w:customStyle="1" w:styleId="Bodytext2">
    <w:name w:val="Body text (2)_"/>
    <w:basedOn w:val="DefaultParagraphFont"/>
    <w:link w:val="Bodytext20"/>
    <w:rsid w:val="00763FCD"/>
    <w:rPr>
      <w:rFonts w:ascii="Consolas" w:eastAsia="Consolas" w:hAnsi="Consolas" w:cs="Consolas"/>
      <w:i/>
      <w:iCs/>
      <w:color w:val="514D52"/>
      <w:sz w:val="18"/>
      <w:szCs w:val="18"/>
    </w:rPr>
  </w:style>
  <w:style w:type="paragraph" w:customStyle="1" w:styleId="Bodytext20">
    <w:name w:val="Body text (2)"/>
    <w:basedOn w:val="Normal"/>
    <w:link w:val="Bodytext2"/>
    <w:rsid w:val="00763FCD"/>
    <w:pPr>
      <w:widowControl w:val="0"/>
      <w:spacing w:before="0" w:after="0" w:line="257" w:lineRule="auto"/>
      <w:ind w:left="340" w:hanging="340"/>
      <w:jc w:val="left"/>
    </w:pPr>
    <w:rPr>
      <w:rFonts w:ascii="Consolas" w:eastAsia="Consolas" w:hAnsi="Consolas" w:cs="Consolas"/>
      <w:i/>
      <w:iCs/>
      <w:color w:val="514D52"/>
      <w:sz w:val="18"/>
      <w:szCs w:val="18"/>
      <w:lang w:val="ru-RU"/>
    </w:rPr>
  </w:style>
  <w:style w:type="paragraph" w:customStyle="1" w:styleId="Default">
    <w:name w:val="Default"/>
    <w:uiPriority w:val="99"/>
    <w:rsid w:val="00763FCD"/>
    <w:pPr>
      <w:autoSpaceDE w:val="0"/>
      <w:autoSpaceDN w:val="0"/>
      <w:adjustRightInd w:val="0"/>
      <w:spacing w:after="0" w:line="240" w:lineRule="auto"/>
    </w:pPr>
    <w:rPr>
      <w:rFonts w:ascii="Sylfaen" w:hAnsi="Sylfaen" w:cs="Sylfaen"/>
      <w:color w:val="000000"/>
      <w:sz w:val="24"/>
      <w:szCs w:val="24"/>
      <w:lang w:val="en-US"/>
    </w:rPr>
  </w:style>
  <w:style w:type="paragraph" w:customStyle="1" w:styleId="msonormal0">
    <w:name w:val="msonormal"/>
    <w:basedOn w:val="Normal"/>
    <w:rsid w:val="0044116B"/>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Normal"/>
    <w:rsid w:val="0044116B"/>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Normal"/>
    <w:uiPriority w:val="99"/>
    <w:rsid w:val="0044116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Normal"/>
    <w:uiPriority w:val="99"/>
    <w:rsid w:val="0044116B"/>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Normal"/>
    <w:uiPriority w:val="99"/>
    <w:rsid w:val="0044116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Normal"/>
    <w:uiPriority w:val="99"/>
    <w:rsid w:val="00B15F87"/>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DefaultParagraphFont"/>
    <w:uiPriority w:val="99"/>
    <w:semiHidden/>
    <w:rsid w:val="009E49C0"/>
  </w:style>
  <w:style w:type="character" w:styleId="CommentReference">
    <w:name w:val="annotation reference"/>
    <w:basedOn w:val="DefaultParagraphFont"/>
    <w:uiPriority w:val="99"/>
    <w:semiHidden/>
    <w:unhideWhenUsed/>
    <w:rsid w:val="009E49C0"/>
    <w:rPr>
      <w:sz w:val="16"/>
      <w:szCs w:val="16"/>
    </w:rPr>
  </w:style>
  <w:style w:type="character" w:styleId="EndnoteReference">
    <w:name w:val="endnote reference"/>
    <w:basedOn w:val="DefaultParagraphFont"/>
    <w:uiPriority w:val="99"/>
    <w:semiHidden/>
    <w:unhideWhenUsed/>
    <w:rsid w:val="009E49C0"/>
    <w:rPr>
      <w:vertAlign w:val="superscript"/>
    </w:rPr>
  </w:style>
  <w:style w:type="table" w:customStyle="1" w:styleId="TableGrid1">
    <w:name w:val="Table Grid1"/>
    <w:basedOn w:val="TableNormal"/>
    <w:next w:val="TableGrid"/>
    <w:uiPriority w:val="39"/>
    <w:rsid w:val="008B44CC"/>
    <w:pPr>
      <w:spacing w:after="0" w:line="240" w:lineRule="auto"/>
      <w:ind w:firstLine="567"/>
      <w:jc w:val="both"/>
    </w:pPr>
    <w:rPr>
      <w:rFonts w:ascii="GHEA Grapalat" w:hAnsi="GHEA Grapalat"/>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B44CC"/>
    <w:pPr>
      <w:spacing w:after="0" w:line="240" w:lineRule="auto"/>
      <w:ind w:firstLine="567"/>
      <w:jc w:val="both"/>
    </w:pPr>
    <w:rPr>
      <w:rFonts w:ascii="GHEA Grapalat" w:hAnsi="GHEA Grapalat"/>
      <w:sz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D3F22"/>
    <w:pPr>
      <w:spacing w:after="0" w:line="240" w:lineRule="auto"/>
    </w:pPr>
    <w:rPr>
      <w:rFonts w:ascii="GHEA Grapalat" w:eastAsia="SimSun" w:hAnsi="GHEA Grapalat" w:cs="Times New Roman"/>
      <w:sz w:val="24"/>
      <w:lang w:val="en-US"/>
    </w:rPr>
  </w:style>
  <w:style w:type="character" w:styleId="FollowedHyperlink">
    <w:name w:val="FollowedHyperlink"/>
    <w:basedOn w:val="DefaultParagraphFont"/>
    <w:uiPriority w:val="99"/>
    <w:semiHidden/>
    <w:unhideWhenUsed/>
    <w:rsid w:val="00AC7646"/>
    <w:rPr>
      <w:color w:val="954F72" w:themeColor="followedHyperlink"/>
      <w:u w:val="single"/>
    </w:rPr>
  </w:style>
  <w:style w:type="character" w:customStyle="1" w:styleId="1">
    <w:name w:val="Текст выноски Знак1"/>
    <w:basedOn w:val="DefaultParagraphFont"/>
    <w:uiPriority w:val="99"/>
    <w:semiHidden/>
    <w:rsid w:val="00AC7646"/>
    <w:rPr>
      <w:rFonts w:ascii="Segoe UI" w:eastAsia="SimSun" w:hAnsi="Segoe UI" w:cs="Segoe UI" w:hint="default"/>
      <w:sz w:val="18"/>
      <w:szCs w:val="18"/>
      <w:lang w:val="en-US"/>
    </w:rPr>
  </w:style>
  <w:style w:type="character" w:customStyle="1" w:styleId="10">
    <w:name w:val="Тема примечания Знак1"/>
    <w:basedOn w:val="CommentTextChar"/>
    <w:uiPriority w:val="99"/>
    <w:semiHidden/>
    <w:rsid w:val="00AC7646"/>
    <w:rPr>
      <w:rFonts w:ascii="GHEA Grapalat" w:eastAsia="SimSun" w:hAnsi="GHEA Grapalat" w:cs="Times New Roman" w:hint="default"/>
      <w:b/>
      <w:bCs/>
      <w:color w:val="0070C0"/>
      <w:sz w:val="20"/>
      <w:szCs w:val="20"/>
      <w:lang w:val="en-US" w:eastAsia="x-none"/>
    </w:rPr>
  </w:style>
  <w:style w:type="character" w:customStyle="1" w:styleId="11">
    <w:name w:val="Текст концевой сноски Знак1"/>
    <w:basedOn w:val="DefaultParagraphFont"/>
    <w:uiPriority w:val="99"/>
    <w:semiHidden/>
    <w:rsid w:val="00AC7646"/>
    <w:rPr>
      <w:rFonts w:ascii="GHEA Grapalat" w:eastAsia="SimSun" w:hAnsi="GHEA Grapalat" w:cs="Times New Roman" w:hint="default"/>
      <w:sz w:val="20"/>
      <w:szCs w:val="20"/>
      <w:lang w:val="en-US"/>
    </w:rPr>
  </w:style>
  <w:style w:type="paragraph" w:customStyle="1" w:styleId="Text">
    <w:name w:val="Text"/>
    <w:uiPriority w:val="99"/>
    <w:rsid w:val="00AC7646"/>
    <w:pPr>
      <w:spacing w:before="240" w:after="0" w:line="260" w:lineRule="atLeast"/>
      <w:jc w:val="both"/>
    </w:pPr>
    <w:rPr>
      <w:rFonts w:ascii="Times New Roman" w:eastAsia="Times New Roman" w:hAnsi="Times New Roman" w:cs="Times New Roman"/>
      <w:szCs w:val="20"/>
      <w:lang w:val="en-US"/>
    </w:rPr>
  </w:style>
  <w:style w:type="paragraph" w:customStyle="1" w:styleId="comm">
    <w:name w:val="comm"/>
    <w:basedOn w:val="Normal"/>
    <w:uiPriority w:val="99"/>
    <w:rsid w:val="00AC7646"/>
    <w:pPr>
      <w:spacing w:before="100" w:beforeAutospacing="1" w:after="100" w:afterAutospacing="1" w:line="240" w:lineRule="auto"/>
      <w:ind w:firstLine="0"/>
      <w:jc w:val="left"/>
    </w:pPr>
    <w:rPr>
      <w:rFonts w:ascii="Times New Roman" w:eastAsia="Times New Roman" w:hAnsi="Times New Roman"/>
      <w:szCs w:val="24"/>
    </w:rPr>
  </w:style>
  <w:style w:type="character" w:styleId="IntenseEmphasis">
    <w:name w:val="Intense Emphasis"/>
    <w:basedOn w:val="DefaultParagraphFont"/>
    <w:uiPriority w:val="21"/>
    <w:qFormat/>
    <w:rsid w:val="00AC7646"/>
    <w:rPr>
      <w:i/>
      <w:iCs/>
      <w:color w:val="5B9BD5" w:themeColor="accent1"/>
    </w:rPr>
  </w:style>
  <w:style w:type="numbering" w:customStyle="1" w:styleId="NoList1">
    <w:name w:val="No List1"/>
    <w:next w:val="NoList"/>
    <w:uiPriority w:val="99"/>
    <w:semiHidden/>
    <w:unhideWhenUsed/>
    <w:rsid w:val="00AC7646"/>
  </w:style>
  <w:style w:type="character" w:styleId="PageNumber">
    <w:name w:val="page number"/>
    <w:basedOn w:val="DefaultParagraphFont"/>
    <w:uiPriority w:val="99"/>
    <w:semiHidden/>
    <w:unhideWhenUsed/>
    <w:rsid w:val="00AC7646"/>
  </w:style>
  <w:style w:type="paragraph" w:styleId="BodyText21">
    <w:name w:val="Body Text 2"/>
    <w:basedOn w:val="Normal"/>
    <w:link w:val="BodyText2Char"/>
    <w:semiHidden/>
    <w:rsid w:val="003333AA"/>
    <w:pPr>
      <w:spacing w:before="0" w:after="0" w:line="240" w:lineRule="auto"/>
      <w:ind w:firstLine="0"/>
      <w:jc w:val="center"/>
    </w:pPr>
    <w:rPr>
      <w:rFonts w:ascii="Times Armenian" w:eastAsia="Times New Roman" w:hAnsi="Times Armenian"/>
      <w:sz w:val="28"/>
      <w:szCs w:val="20"/>
    </w:rPr>
  </w:style>
  <w:style w:type="character" w:customStyle="1" w:styleId="BodyText2Char">
    <w:name w:val="Body Text 2 Char"/>
    <w:basedOn w:val="DefaultParagraphFont"/>
    <w:link w:val="BodyText21"/>
    <w:semiHidden/>
    <w:rsid w:val="003333AA"/>
    <w:rPr>
      <w:rFonts w:ascii="Times Armenian" w:eastAsia="Times New Roman" w:hAnsi="Times Armenian" w:cs="Times New Roman"/>
      <w:sz w:val="28"/>
      <w:szCs w:val="20"/>
      <w:lang w:val="en-US"/>
    </w:rPr>
  </w:style>
  <w:style w:type="paragraph" w:styleId="Caption">
    <w:name w:val="caption"/>
    <w:basedOn w:val="Normal"/>
    <w:next w:val="Normal"/>
    <w:uiPriority w:val="35"/>
    <w:unhideWhenUsed/>
    <w:qFormat/>
    <w:rsid w:val="003333AA"/>
    <w:pPr>
      <w:spacing w:before="0" w:after="200" w:line="240" w:lineRule="auto"/>
      <w:ind w:firstLine="567"/>
      <w:jc w:val="left"/>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6587">
      <w:bodyDiv w:val="1"/>
      <w:marLeft w:val="0"/>
      <w:marRight w:val="0"/>
      <w:marTop w:val="0"/>
      <w:marBottom w:val="0"/>
      <w:divBdr>
        <w:top w:val="none" w:sz="0" w:space="0" w:color="auto"/>
        <w:left w:val="none" w:sz="0" w:space="0" w:color="auto"/>
        <w:bottom w:val="none" w:sz="0" w:space="0" w:color="auto"/>
        <w:right w:val="none" w:sz="0" w:space="0" w:color="auto"/>
      </w:divBdr>
    </w:div>
    <w:div w:id="322241645">
      <w:bodyDiv w:val="1"/>
      <w:marLeft w:val="0"/>
      <w:marRight w:val="0"/>
      <w:marTop w:val="0"/>
      <w:marBottom w:val="0"/>
      <w:divBdr>
        <w:top w:val="none" w:sz="0" w:space="0" w:color="auto"/>
        <w:left w:val="none" w:sz="0" w:space="0" w:color="auto"/>
        <w:bottom w:val="none" w:sz="0" w:space="0" w:color="auto"/>
        <w:right w:val="none" w:sz="0" w:space="0" w:color="auto"/>
      </w:divBdr>
    </w:div>
    <w:div w:id="336004706">
      <w:bodyDiv w:val="1"/>
      <w:marLeft w:val="0"/>
      <w:marRight w:val="0"/>
      <w:marTop w:val="0"/>
      <w:marBottom w:val="0"/>
      <w:divBdr>
        <w:top w:val="none" w:sz="0" w:space="0" w:color="auto"/>
        <w:left w:val="none" w:sz="0" w:space="0" w:color="auto"/>
        <w:bottom w:val="none" w:sz="0" w:space="0" w:color="auto"/>
        <w:right w:val="none" w:sz="0" w:space="0" w:color="auto"/>
      </w:divBdr>
    </w:div>
    <w:div w:id="384833948">
      <w:bodyDiv w:val="1"/>
      <w:marLeft w:val="0"/>
      <w:marRight w:val="0"/>
      <w:marTop w:val="0"/>
      <w:marBottom w:val="0"/>
      <w:divBdr>
        <w:top w:val="none" w:sz="0" w:space="0" w:color="auto"/>
        <w:left w:val="none" w:sz="0" w:space="0" w:color="auto"/>
        <w:bottom w:val="none" w:sz="0" w:space="0" w:color="auto"/>
        <w:right w:val="none" w:sz="0" w:space="0" w:color="auto"/>
      </w:divBdr>
    </w:div>
    <w:div w:id="399443751">
      <w:bodyDiv w:val="1"/>
      <w:marLeft w:val="0"/>
      <w:marRight w:val="0"/>
      <w:marTop w:val="0"/>
      <w:marBottom w:val="0"/>
      <w:divBdr>
        <w:top w:val="none" w:sz="0" w:space="0" w:color="auto"/>
        <w:left w:val="none" w:sz="0" w:space="0" w:color="auto"/>
        <w:bottom w:val="none" w:sz="0" w:space="0" w:color="auto"/>
        <w:right w:val="none" w:sz="0" w:space="0" w:color="auto"/>
      </w:divBdr>
    </w:div>
    <w:div w:id="410392359">
      <w:bodyDiv w:val="1"/>
      <w:marLeft w:val="0"/>
      <w:marRight w:val="0"/>
      <w:marTop w:val="0"/>
      <w:marBottom w:val="0"/>
      <w:divBdr>
        <w:top w:val="none" w:sz="0" w:space="0" w:color="auto"/>
        <w:left w:val="none" w:sz="0" w:space="0" w:color="auto"/>
        <w:bottom w:val="none" w:sz="0" w:space="0" w:color="auto"/>
        <w:right w:val="none" w:sz="0" w:space="0" w:color="auto"/>
      </w:divBdr>
    </w:div>
    <w:div w:id="453252062">
      <w:bodyDiv w:val="1"/>
      <w:marLeft w:val="0"/>
      <w:marRight w:val="0"/>
      <w:marTop w:val="0"/>
      <w:marBottom w:val="0"/>
      <w:divBdr>
        <w:top w:val="none" w:sz="0" w:space="0" w:color="auto"/>
        <w:left w:val="none" w:sz="0" w:space="0" w:color="auto"/>
        <w:bottom w:val="none" w:sz="0" w:space="0" w:color="auto"/>
        <w:right w:val="none" w:sz="0" w:space="0" w:color="auto"/>
      </w:divBdr>
    </w:div>
    <w:div w:id="521625741">
      <w:bodyDiv w:val="1"/>
      <w:marLeft w:val="0"/>
      <w:marRight w:val="0"/>
      <w:marTop w:val="0"/>
      <w:marBottom w:val="0"/>
      <w:divBdr>
        <w:top w:val="none" w:sz="0" w:space="0" w:color="auto"/>
        <w:left w:val="none" w:sz="0" w:space="0" w:color="auto"/>
        <w:bottom w:val="none" w:sz="0" w:space="0" w:color="auto"/>
        <w:right w:val="none" w:sz="0" w:space="0" w:color="auto"/>
      </w:divBdr>
    </w:div>
    <w:div w:id="543912441">
      <w:bodyDiv w:val="1"/>
      <w:marLeft w:val="0"/>
      <w:marRight w:val="0"/>
      <w:marTop w:val="0"/>
      <w:marBottom w:val="0"/>
      <w:divBdr>
        <w:top w:val="none" w:sz="0" w:space="0" w:color="auto"/>
        <w:left w:val="none" w:sz="0" w:space="0" w:color="auto"/>
        <w:bottom w:val="none" w:sz="0" w:space="0" w:color="auto"/>
        <w:right w:val="none" w:sz="0" w:space="0" w:color="auto"/>
      </w:divBdr>
    </w:div>
    <w:div w:id="566963946">
      <w:bodyDiv w:val="1"/>
      <w:marLeft w:val="0"/>
      <w:marRight w:val="0"/>
      <w:marTop w:val="0"/>
      <w:marBottom w:val="0"/>
      <w:divBdr>
        <w:top w:val="none" w:sz="0" w:space="0" w:color="auto"/>
        <w:left w:val="none" w:sz="0" w:space="0" w:color="auto"/>
        <w:bottom w:val="none" w:sz="0" w:space="0" w:color="auto"/>
        <w:right w:val="none" w:sz="0" w:space="0" w:color="auto"/>
      </w:divBdr>
    </w:div>
    <w:div w:id="716976663">
      <w:bodyDiv w:val="1"/>
      <w:marLeft w:val="0"/>
      <w:marRight w:val="0"/>
      <w:marTop w:val="0"/>
      <w:marBottom w:val="0"/>
      <w:divBdr>
        <w:top w:val="none" w:sz="0" w:space="0" w:color="auto"/>
        <w:left w:val="none" w:sz="0" w:space="0" w:color="auto"/>
        <w:bottom w:val="none" w:sz="0" w:space="0" w:color="auto"/>
        <w:right w:val="none" w:sz="0" w:space="0" w:color="auto"/>
      </w:divBdr>
    </w:div>
    <w:div w:id="747919687">
      <w:bodyDiv w:val="1"/>
      <w:marLeft w:val="0"/>
      <w:marRight w:val="0"/>
      <w:marTop w:val="0"/>
      <w:marBottom w:val="0"/>
      <w:divBdr>
        <w:top w:val="none" w:sz="0" w:space="0" w:color="auto"/>
        <w:left w:val="none" w:sz="0" w:space="0" w:color="auto"/>
        <w:bottom w:val="none" w:sz="0" w:space="0" w:color="auto"/>
        <w:right w:val="none" w:sz="0" w:space="0" w:color="auto"/>
      </w:divBdr>
    </w:div>
    <w:div w:id="825169476">
      <w:bodyDiv w:val="1"/>
      <w:marLeft w:val="0"/>
      <w:marRight w:val="0"/>
      <w:marTop w:val="0"/>
      <w:marBottom w:val="0"/>
      <w:divBdr>
        <w:top w:val="none" w:sz="0" w:space="0" w:color="auto"/>
        <w:left w:val="none" w:sz="0" w:space="0" w:color="auto"/>
        <w:bottom w:val="none" w:sz="0" w:space="0" w:color="auto"/>
        <w:right w:val="none" w:sz="0" w:space="0" w:color="auto"/>
      </w:divBdr>
    </w:div>
    <w:div w:id="826016890">
      <w:bodyDiv w:val="1"/>
      <w:marLeft w:val="0"/>
      <w:marRight w:val="0"/>
      <w:marTop w:val="0"/>
      <w:marBottom w:val="0"/>
      <w:divBdr>
        <w:top w:val="none" w:sz="0" w:space="0" w:color="auto"/>
        <w:left w:val="none" w:sz="0" w:space="0" w:color="auto"/>
        <w:bottom w:val="none" w:sz="0" w:space="0" w:color="auto"/>
        <w:right w:val="none" w:sz="0" w:space="0" w:color="auto"/>
      </w:divBdr>
    </w:div>
    <w:div w:id="847329966">
      <w:bodyDiv w:val="1"/>
      <w:marLeft w:val="0"/>
      <w:marRight w:val="0"/>
      <w:marTop w:val="0"/>
      <w:marBottom w:val="0"/>
      <w:divBdr>
        <w:top w:val="none" w:sz="0" w:space="0" w:color="auto"/>
        <w:left w:val="none" w:sz="0" w:space="0" w:color="auto"/>
        <w:bottom w:val="none" w:sz="0" w:space="0" w:color="auto"/>
        <w:right w:val="none" w:sz="0" w:space="0" w:color="auto"/>
      </w:divBdr>
    </w:div>
    <w:div w:id="1124234161">
      <w:bodyDiv w:val="1"/>
      <w:marLeft w:val="0"/>
      <w:marRight w:val="0"/>
      <w:marTop w:val="0"/>
      <w:marBottom w:val="0"/>
      <w:divBdr>
        <w:top w:val="none" w:sz="0" w:space="0" w:color="auto"/>
        <w:left w:val="none" w:sz="0" w:space="0" w:color="auto"/>
        <w:bottom w:val="none" w:sz="0" w:space="0" w:color="auto"/>
        <w:right w:val="none" w:sz="0" w:space="0" w:color="auto"/>
      </w:divBdr>
    </w:div>
    <w:div w:id="1281565678">
      <w:bodyDiv w:val="1"/>
      <w:marLeft w:val="0"/>
      <w:marRight w:val="0"/>
      <w:marTop w:val="0"/>
      <w:marBottom w:val="0"/>
      <w:divBdr>
        <w:top w:val="none" w:sz="0" w:space="0" w:color="auto"/>
        <w:left w:val="none" w:sz="0" w:space="0" w:color="auto"/>
        <w:bottom w:val="none" w:sz="0" w:space="0" w:color="auto"/>
        <w:right w:val="none" w:sz="0" w:space="0" w:color="auto"/>
      </w:divBdr>
    </w:div>
    <w:div w:id="1344672146">
      <w:bodyDiv w:val="1"/>
      <w:marLeft w:val="0"/>
      <w:marRight w:val="0"/>
      <w:marTop w:val="0"/>
      <w:marBottom w:val="0"/>
      <w:divBdr>
        <w:top w:val="none" w:sz="0" w:space="0" w:color="auto"/>
        <w:left w:val="none" w:sz="0" w:space="0" w:color="auto"/>
        <w:bottom w:val="none" w:sz="0" w:space="0" w:color="auto"/>
        <w:right w:val="none" w:sz="0" w:space="0" w:color="auto"/>
      </w:divBdr>
    </w:div>
    <w:div w:id="1348021791">
      <w:bodyDiv w:val="1"/>
      <w:marLeft w:val="0"/>
      <w:marRight w:val="0"/>
      <w:marTop w:val="0"/>
      <w:marBottom w:val="0"/>
      <w:divBdr>
        <w:top w:val="none" w:sz="0" w:space="0" w:color="auto"/>
        <w:left w:val="none" w:sz="0" w:space="0" w:color="auto"/>
        <w:bottom w:val="none" w:sz="0" w:space="0" w:color="auto"/>
        <w:right w:val="none" w:sz="0" w:space="0" w:color="auto"/>
      </w:divBdr>
    </w:div>
    <w:div w:id="1459186139">
      <w:bodyDiv w:val="1"/>
      <w:marLeft w:val="0"/>
      <w:marRight w:val="0"/>
      <w:marTop w:val="0"/>
      <w:marBottom w:val="0"/>
      <w:divBdr>
        <w:top w:val="none" w:sz="0" w:space="0" w:color="auto"/>
        <w:left w:val="none" w:sz="0" w:space="0" w:color="auto"/>
        <w:bottom w:val="none" w:sz="0" w:space="0" w:color="auto"/>
        <w:right w:val="none" w:sz="0" w:space="0" w:color="auto"/>
      </w:divBdr>
    </w:div>
    <w:div w:id="1845389529">
      <w:bodyDiv w:val="1"/>
      <w:marLeft w:val="0"/>
      <w:marRight w:val="0"/>
      <w:marTop w:val="0"/>
      <w:marBottom w:val="0"/>
      <w:divBdr>
        <w:top w:val="none" w:sz="0" w:space="0" w:color="auto"/>
        <w:left w:val="none" w:sz="0" w:space="0" w:color="auto"/>
        <w:bottom w:val="none" w:sz="0" w:space="0" w:color="auto"/>
        <w:right w:val="none" w:sz="0" w:space="0" w:color="auto"/>
      </w:divBdr>
    </w:div>
    <w:div w:id="1871987693">
      <w:bodyDiv w:val="1"/>
      <w:marLeft w:val="0"/>
      <w:marRight w:val="0"/>
      <w:marTop w:val="0"/>
      <w:marBottom w:val="0"/>
      <w:divBdr>
        <w:top w:val="none" w:sz="0" w:space="0" w:color="auto"/>
        <w:left w:val="none" w:sz="0" w:space="0" w:color="auto"/>
        <w:bottom w:val="none" w:sz="0" w:space="0" w:color="auto"/>
        <w:right w:val="none" w:sz="0" w:space="0" w:color="auto"/>
      </w:divBdr>
    </w:div>
    <w:div w:id="2038502936">
      <w:bodyDiv w:val="1"/>
      <w:marLeft w:val="0"/>
      <w:marRight w:val="0"/>
      <w:marTop w:val="0"/>
      <w:marBottom w:val="0"/>
      <w:divBdr>
        <w:top w:val="none" w:sz="0" w:space="0" w:color="auto"/>
        <w:left w:val="none" w:sz="0" w:space="0" w:color="auto"/>
        <w:bottom w:val="none" w:sz="0" w:space="0" w:color="auto"/>
        <w:right w:val="none" w:sz="0" w:space="0" w:color="auto"/>
      </w:divBdr>
    </w:div>
    <w:div w:id="2109889073">
      <w:bodyDiv w:val="1"/>
      <w:marLeft w:val="0"/>
      <w:marRight w:val="0"/>
      <w:marTop w:val="0"/>
      <w:marBottom w:val="0"/>
      <w:divBdr>
        <w:top w:val="none" w:sz="0" w:space="0" w:color="auto"/>
        <w:left w:val="none" w:sz="0" w:space="0" w:color="auto"/>
        <w:bottom w:val="none" w:sz="0" w:space="0" w:color="auto"/>
        <w:right w:val="none" w:sz="0" w:space="0" w:color="auto"/>
      </w:divBdr>
    </w:div>
    <w:div w:id="21222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760B-4A3A-47C7-A677-5E8375C0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56</Pages>
  <Words>15287</Words>
  <Characters>87137</Characters>
  <Application>Microsoft Office Word</Application>
  <DocSecurity>0</DocSecurity>
  <Lines>726</Lines>
  <Paragraphs>204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vachikgevorgyan4@gmail.com</dc:creator>
  <cp:keywords>https:/mul2.armsai.am/tasks/2176/oneclick/5a084918428253e6e2a5dfc41605a276b566a119fb4d078e6a63e73000cdd58f.docx?token=8d21e7b74d2dfa4a43e5e15fa55af6c7</cp:keywords>
  <dc:description/>
  <cp:lastModifiedBy>User 8</cp:lastModifiedBy>
  <cp:revision>42</cp:revision>
  <cp:lastPrinted>2023-02-17T12:11:00Z</cp:lastPrinted>
  <dcterms:created xsi:type="dcterms:W3CDTF">2023-03-01T13:29:00Z</dcterms:created>
  <dcterms:modified xsi:type="dcterms:W3CDTF">2023-03-03T11:23:00Z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807875413</vt:i4>
  </property>
  <property fmtid="{D5CDD505-2E9C-101B-9397-08002B2CF9AE}" pid="3" name="_NewReviewCycle">
    <vt:lpwstr/>
  </property>
  <property fmtid="{D5CDD505-2E9C-101B-9397-08002B2CF9AE}" pid="4" name="_EmailSubject">
    <vt:lpwstr>Ճանապարհային ցանց</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