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A1" w:rsidRDefault="00B625A1" w:rsidP="00B625A1">
      <w:pPr>
        <w:spacing w:before="0" w:after="160" w:line="256" w:lineRule="auto"/>
        <w:ind w:firstLine="0"/>
        <w:jc w:val="left"/>
        <w:rPr>
          <w:rFonts w:cs="Sylfaen"/>
          <w:b/>
          <w:bCs/>
          <w:color w:val="000000"/>
          <w:sz w:val="32"/>
          <w:lang w:val="hy-AM"/>
        </w:rPr>
      </w:pPr>
      <w:r>
        <w:rPr>
          <w:rFonts w:cs="Sylfaen"/>
          <w:b/>
          <w:bCs/>
          <w:color w:val="000000"/>
          <w:sz w:val="32"/>
          <w:lang w:val="hy-AM"/>
        </w:rPr>
        <w:t>ՀԱՅԱՍՏԱՆԻ ՀԱՆՐԱՊԵՏՈՒԹՅԱՆ ՀԱՇՎԵՔՆՆԻՉ ՊԱԼԱՏ</w:t>
      </w:r>
    </w:p>
    <w:p w:rsidR="00B625A1" w:rsidRDefault="00B625A1" w:rsidP="00B625A1">
      <w:pPr>
        <w:spacing w:before="0" w:after="160" w:line="256" w:lineRule="auto"/>
        <w:ind w:firstLine="0"/>
        <w:jc w:val="left"/>
        <w:rPr>
          <w:rFonts w:cs="Sylfaen"/>
          <w:b/>
          <w:bCs/>
          <w:color w:val="000000"/>
          <w:sz w:val="32"/>
          <w:lang w:val="hy-AM"/>
        </w:rPr>
      </w:pPr>
    </w:p>
    <w:p w:rsidR="00B625A1" w:rsidRDefault="00B625A1" w:rsidP="00B625A1">
      <w:pPr>
        <w:jc w:val="center"/>
        <w:rPr>
          <w:noProof/>
          <w:lang w:val="ru-RU" w:eastAsia="ru-RU"/>
        </w:rPr>
      </w:pPr>
      <w:bookmarkStart w:id="0" w:name="_Hlk509559606"/>
      <w:r w:rsidRPr="00A14C43">
        <w:rPr>
          <w:noProof/>
        </w:rPr>
        <w:drawing>
          <wp:inline distT="0" distB="0" distL="0" distR="0" wp14:anchorId="75F96842" wp14:editId="7C219B9E">
            <wp:extent cx="1346200" cy="1261745"/>
            <wp:effectExtent l="0" t="0" r="635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1261745"/>
                    </a:xfrm>
                    <a:prstGeom prst="rect">
                      <a:avLst/>
                    </a:prstGeom>
                    <a:noFill/>
                    <a:ln>
                      <a:noFill/>
                    </a:ln>
                  </pic:spPr>
                </pic:pic>
              </a:graphicData>
            </a:graphic>
          </wp:inline>
        </w:drawing>
      </w:r>
      <w:bookmarkEnd w:id="0"/>
    </w:p>
    <w:p w:rsidR="00B625A1" w:rsidRDefault="00B625A1" w:rsidP="00B625A1"/>
    <w:p w:rsidR="00B625A1" w:rsidRDefault="00B625A1" w:rsidP="00B625A1"/>
    <w:p w:rsidR="00B625A1" w:rsidRDefault="00B625A1" w:rsidP="00B625A1">
      <w:pPr>
        <w:tabs>
          <w:tab w:val="left" w:pos="9180"/>
        </w:tabs>
        <w:spacing w:before="0" w:line="240" w:lineRule="auto"/>
        <w:ind w:right="29" w:firstLine="0"/>
        <w:jc w:val="center"/>
        <w:rPr>
          <w:rFonts w:cs="Sylfaen"/>
          <w:b/>
          <w:bCs/>
          <w:color w:val="000000"/>
          <w:sz w:val="40"/>
        </w:rPr>
      </w:pPr>
      <w:r>
        <w:rPr>
          <w:rFonts w:cs="Sylfaen"/>
          <w:b/>
          <w:bCs/>
          <w:color w:val="000000"/>
          <w:sz w:val="40"/>
        </w:rPr>
        <w:t>ԸՆԹԱՑԻԿ ԵԶՐԱԿԱՑՈՒԹՅՈՒՆ</w:t>
      </w:r>
    </w:p>
    <w:p w:rsidR="00B625A1" w:rsidRDefault="00B625A1" w:rsidP="00B625A1">
      <w:pPr>
        <w:spacing w:before="0" w:after="160" w:line="240" w:lineRule="auto"/>
        <w:ind w:firstLine="0"/>
        <w:jc w:val="center"/>
        <w:rPr>
          <w:b/>
          <w:bCs/>
          <w:color w:val="808080"/>
          <w:sz w:val="28"/>
          <w:lang w:val="hy-AM"/>
        </w:rPr>
      </w:pPr>
      <w:r w:rsidRPr="00B625A1">
        <w:rPr>
          <w:b/>
          <w:bCs/>
          <w:color w:val="808080"/>
          <w:sz w:val="28"/>
          <w:lang w:val="hy-AM"/>
        </w:rPr>
        <w:t>ՀԱՅԱՍՏԱՆԻ ՀԱՆՐԱՊԵՏՈՒԹՅԱՆ ՊԵՏԱԿԱՆ ԵԿԱՄՈՒՏՆԵՐԻ ԿՈՄԻՏԵՈՒՄ 2022 ԹՎԱԿԱՆԻ ՊԵՏԱԿԱՆ ԲՅՈՒՋԵԻ ԵՐԵՔ ԱՄԻՍՆԵՐԻ ԿԱՏԱՐՄԱՆ</w:t>
      </w:r>
      <w:r w:rsidRPr="00B625A1">
        <w:rPr>
          <w:rFonts w:eastAsia="Times New Roman"/>
          <w:b/>
          <w:szCs w:val="24"/>
        </w:rPr>
        <w:t xml:space="preserve"> </w:t>
      </w:r>
      <w:r>
        <w:rPr>
          <w:b/>
          <w:bCs/>
          <w:color w:val="808080"/>
          <w:sz w:val="28"/>
          <w:lang w:val="hy-AM"/>
        </w:rPr>
        <w:t>ՀԱՇՎԵՔՆՆՈՒԹՅԱՆ ԱՐԴՅՈՒՆՔՆԵՐԻ ՎԵՐԱԲԵՐՅԱԼ</w:t>
      </w:r>
    </w:p>
    <w:p w:rsidR="00B625A1" w:rsidRDefault="00B625A1" w:rsidP="00B625A1">
      <w:pPr>
        <w:rPr>
          <w:lang w:val="hy-AM"/>
        </w:rPr>
      </w:pPr>
    </w:p>
    <w:p w:rsidR="00B625A1" w:rsidRDefault="00B625A1" w:rsidP="00B625A1">
      <w:pPr>
        <w:rPr>
          <w:lang w:val="hy-AM"/>
        </w:rPr>
      </w:pPr>
    </w:p>
    <w:p w:rsidR="00B625A1" w:rsidRDefault="00B625A1" w:rsidP="00B625A1">
      <w:pPr>
        <w:rPr>
          <w:lang w:val="hy-AM"/>
        </w:rPr>
      </w:pPr>
    </w:p>
    <w:p w:rsidR="00B625A1" w:rsidRDefault="00B625A1" w:rsidP="00B625A1">
      <w:pPr>
        <w:rPr>
          <w:lang w:val="hy-AM"/>
        </w:rPr>
      </w:pPr>
    </w:p>
    <w:p w:rsidR="00B625A1" w:rsidRDefault="00B625A1" w:rsidP="00B625A1">
      <w:pPr>
        <w:rPr>
          <w:lang w:val="hy-AM"/>
        </w:rPr>
      </w:pPr>
    </w:p>
    <w:p w:rsidR="00B625A1" w:rsidRDefault="00B625A1" w:rsidP="00B625A1">
      <w:pPr>
        <w:rPr>
          <w:lang w:val="hy-AM"/>
        </w:rPr>
      </w:pPr>
    </w:p>
    <w:p w:rsidR="00B625A1" w:rsidRDefault="00B625A1" w:rsidP="00B625A1">
      <w:pPr>
        <w:rPr>
          <w:lang w:val="hy-AM"/>
        </w:rPr>
      </w:pPr>
    </w:p>
    <w:p w:rsidR="00B625A1" w:rsidRDefault="00B625A1" w:rsidP="00B625A1">
      <w:pPr>
        <w:jc w:val="center"/>
        <w:rPr>
          <w:sz w:val="28"/>
          <w:lang w:val="ru-RU"/>
        </w:rPr>
      </w:pPr>
      <w:r>
        <w:rPr>
          <w:sz w:val="28"/>
          <w:lang w:val="hy-AM"/>
        </w:rPr>
        <w:t>202</w:t>
      </w:r>
      <w:r>
        <w:rPr>
          <w:sz w:val="28"/>
          <w:lang w:val="ru-RU"/>
        </w:rPr>
        <w:t>2</w:t>
      </w:r>
    </w:p>
    <w:p w:rsidR="00061E78" w:rsidRDefault="00061E78"/>
    <w:p w:rsidR="00B625A1" w:rsidRDefault="00B625A1" w:rsidP="00B625A1">
      <w:pPr>
        <w:spacing w:before="0" w:after="160" w:line="256" w:lineRule="auto"/>
        <w:ind w:firstLine="0"/>
        <w:jc w:val="center"/>
        <w:rPr>
          <w:rFonts w:cs="Sylfaen"/>
          <w:b/>
          <w:bCs/>
          <w:color w:val="0070C0"/>
          <w:sz w:val="28"/>
          <w:szCs w:val="28"/>
        </w:rPr>
      </w:pPr>
      <w:r>
        <w:rPr>
          <w:rFonts w:cs="Sylfaen"/>
          <w:b/>
          <w:bCs/>
          <w:color w:val="0070C0"/>
          <w:sz w:val="28"/>
          <w:szCs w:val="28"/>
        </w:rPr>
        <w:t>ԲՈՎԱՆԴԱԿՈՒԹՅՈՒՆ</w:t>
      </w:r>
    </w:p>
    <w:sdt>
      <w:sdtPr>
        <w:rPr>
          <w:rFonts w:ascii="GHEA Grapalat" w:eastAsia="SimSun" w:hAnsi="GHEA Grapalat" w:cs="Times New Roman"/>
          <w:color w:val="auto"/>
          <w:sz w:val="24"/>
          <w:szCs w:val="22"/>
        </w:rPr>
        <w:id w:val="1781143465"/>
        <w:docPartObj>
          <w:docPartGallery w:val="Table of Contents"/>
          <w:docPartUnique/>
        </w:docPartObj>
      </w:sdtPr>
      <w:sdtEndPr>
        <w:rPr>
          <w:b/>
          <w:bCs/>
          <w:noProof/>
        </w:rPr>
      </w:sdtEndPr>
      <w:sdtContent>
        <w:p w:rsidR="00741082" w:rsidRDefault="00741082">
          <w:pPr>
            <w:pStyle w:val="TOCHeading"/>
          </w:pPr>
        </w:p>
        <w:p w:rsidR="00741082" w:rsidRDefault="00741082">
          <w:pPr>
            <w:pStyle w:val="TOC1"/>
            <w:tabs>
              <w:tab w:val="left" w:pos="1100"/>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09642755" w:history="1">
            <w:r w:rsidRPr="00741082">
              <w:rPr>
                <w:rStyle w:val="Hyperlink"/>
                <w:noProof/>
                <w:lang w:val="hy-AM" w:eastAsia="x-none"/>
              </w:rPr>
              <w:t>I.</w:t>
            </w:r>
            <w:r w:rsidRPr="00741082">
              <w:rPr>
                <w:rFonts w:asciiTheme="minorHAnsi" w:eastAsiaTheme="minorEastAsia" w:hAnsiTheme="minorHAnsi" w:cstheme="minorBidi"/>
                <w:noProof/>
                <w:sz w:val="22"/>
              </w:rPr>
              <w:tab/>
            </w:r>
            <w:r w:rsidRPr="00741082">
              <w:rPr>
                <w:rStyle w:val="Hyperlink"/>
                <w:b/>
                <w:noProof/>
                <w:lang w:val="ru-RU" w:eastAsia="x-none"/>
              </w:rPr>
              <w:t>ԱՄՓՈՓԱԳԻՐ</w:t>
            </w:r>
            <w:r>
              <w:rPr>
                <w:noProof/>
                <w:webHidden/>
              </w:rPr>
              <w:tab/>
            </w:r>
            <w:r>
              <w:rPr>
                <w:noProof/>
                <w:webHidden/>
              </w:rPr>
              <w:fldChar w:fldCharType="begin"/>
            </w:r>
            <w:r>
              <w:rPr>
                <w:noProof/>
                <w:webHidden/>
              </w:rPr>
              <w:instrText xml:space="preserve"> PAGEREF _Toc109642755 \h </w:instrText>
            </w:r>
            <w:r>
              <w:rPr>
                <w:noProof/>
                <w:webHidden/>
              </w:rPr>
            </w:r>
            <w:r>
              <w:rPr>
                <w:noProof/>
                <w:webHidden/>
              </w:rPr>
              <w:fldChar w:fldCharType="separate"/>
            </w:r>
            <w:r w:rsidR="003F0349">
              <w:rPr>
                <w:noProof/>
                <w:webHidden/>
              </w:rPr>
              <w:t>4</w:t>
            </w:r>
            <w:r>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56" w:history="1">
            <w:r w:rsidR="00741082" w:rsidRPr="0062690D">
              <w:rPr>
                <w:rStyle w:val="Hyperlink"/>
                <w:b/>
                <w:noProof/>
                <w:lang w:val="ru-RU" w:eastAsia="x-none"/>
              </w:rPr>
              <w:t>II.</w:t>
            </w:r>
            <w:r w:rsidR="00741082">
              <w:rPr>
                <w:rFonts w:asciiTheme="minorHAnsi" w:eastAsiaTheme="minorEastAsia" w:hAnsiTheme="minorHAnsi" w:cstheme="minorBidi"/>
                <w:noProof/>
                <w:sz w:val="22"/>
              </w:rPr>
              <w:tab/>
            </w:r>
            <w:r w:rsidR="00741082" w:rsidRPr="0062690D">
              <w:rPr>
                <w:rStyle w:val="Hyperlink"/>
                <w:b/>
                <w:noProof/>
                <w:lang w:val="hy-AM" w:eastAsia="x-none"/>
              </w:rPr>
              <w:t>ՀԱՇՎԵՔՆՆՈՒԹՅԱՆ ՀԻՄՆԱԿԱՆ ԱՐԴՅՈՒՆ</w:t>
            </w:r>
            <w:r w:rsidR="00741082" w:rsidRPr="0062690D">
              <w:rPr>
                <w:rStyle w:val="Hyperlink"/>
                <w:b/>
                <w:noProof/>
                <w:lang w:val="ru-RU" w:eastAsia="x-none"/>
              </w:rPr>
              <w:t>ՔՆԵՐ</w:t>
            </w:r>
            <w:r w:rsidR="00741082">
              <w:rPr>
                <w:noProof/>
                <w:webHidden/>
              </w:rPr>
              <w:tab/>
            </w:r>
            <w:r w:rsidR="00741082">
              <w:rPr>
                <w:noProof/>
                <w:webHidden/>
              </w:rPr>
              <w:fldChar w:fldCharType="begin"/>
            </w:r>
            <w:r w:rsidR="00741082">
              <w:rPr>
                <w:noProof/>
                <w:webHidden/>
              </w:rPr>
              <w:instrText xml:space="preserve"> PAGEREF _Toc109642756 \h </w:instrText>
            </w:r>
            <w:r w:rsidR="00741082">
              <w:rPr>
                <w:noProof/>
                <w:webHidden/>
              </w:rPr>
            </w:r>
            <w:r w:rsidR="00741082">
              <w:rPr>
                <w:noProof/>
                <w:webHidden/>
              </w:rPr>
              <w:fldChar w:fldCharType="separate"/>
            </w:r>
            <w:r w:rsidR="003F0349">
              <w:rPr>
                <w:noProof/>
                <w:webHidden/>
              </w:rPr>
              <w:t>6</w:t>
            </w:r>
            <w:r w:rsidR="00741082">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57" w:history="1">
            <w:r w:rsidR="00741082" w:rsidRPr="0062690D">
              <w:rPr>
                <w:rStyle w:val="Hyperlink"/>
                <w:b/>
                <w:bCs/>
                <w:noProof/>
                <w:lang w:val="ru-RU" w:eastAsia="x-none"/>
              </w:rPr>
              <w:t>III.</w:t>
            </w:r>
            <w:r w:rsidR="00741082">
              <w:rPr>
                <w:rFonts w:asciiTheme="minorHAnsi" w:eastAsiaTheme="minorEastAsia" w:hAnsiTheme="minorHAnsi" w:cstheme="minorBidi"/>
                <w:noProof/>
                <w:sz w:val="22"/>
              </w:rPr>
              <w:tab/>
            </w:r>
            <w:r w:rsidR="00741082" w:rsidRPr="0062690D">
              <w:rPr>
                <w:rStyle w:val="Hyperlink"/>
                <w:b/>
                <w:noProof/>
                <w:lang w:val="ru-RU" w:eastAsia="x-none"/>
              </w:rPr>
              <w:t>ՀԱՇՎԵՔՆՆՈՒԹՅԱՆ ՕԲՅԵԿՏԻ ՖԻՆԱՆՍԱԿԱՆ ՑՈՒՑԱՆԻՇՆԵՐ</w:t>
            </w:r>
            <w:r w:rsidR="00741082">
              <w:rPr>
                <w:noProof/>
                <w:webHidden/>
              </w:rPr>
              <w:tab/>
            </w:r>
            <w:r w:rsidR="00741082">
              <w:rPr>
                <w:noProof/>
                <w:webHidden/>
              </w:rPr>
              <w:fldChar w:fldCharType="begin"/>
            </w:r>
            <w:r w:rsidR="00741082">
              <w:rPr>
                <w:noProof/>
                <w:webHidden/>
              </w:rPr>
              <w:instrText xml:space="preserve"> PAGEREF _Toc109642757 \h </w:instrText>
            </w:r>
            <w:r w:rsidR="00741082">
              <w:rPr>
                <w:noProof/>
                <w:webHidden/>
              </w:rPr>
            </w:r>
            <w:r w:rsidR="00741082">
              <w:rPr>
                <w:noProof/>
                <w:webHidden/>
              </w:rPr>
              <w:fldChar w:fldCharType="separate"/>
            </w:r>
            <w:r w:rsidR="003F0349">
              <w:rPr>
                <w:noProof/>
                <w:webHidden/>
              </w:rPr>
              <w:t>8</w:t>
            </w:r>
            <w:r w:rsidR="00741082">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58" w:history="1">
            <w:r w:rsidR="00741082" w:rsidRPr="0062690D">
              <w:rPr>
                <w:rStyle w:val="Hyperlink"/>
                <w:b/>
                <w:noProof/>
                <w:lang w:val="ru-RU" w:eastAsia="x-none"/>
              </w:rPr>
              <w:t>IV.</w:t>
            </w:r>
            <w:r w:rsidR="00741082">
              <w:rPr>
                <w:rFonts w:asciiTheme="minorHAnsi" w:eastAsiaTheme="minorEastAsia" w:hAnsiTheme="minorHAnsi" w:cstheme="minorBidi"/>
                <w:noProof/>
                <w:sz w:val="22"/>
              </w:rPr>
              <w:tab/>
            </w:r>
            <w:r w:rsidR="00741082" w:rsidRPr="0062690D">
              <w:rPr>
                <w:rStyle w:val="Hyperlink"/>
                <w:b/>
                <w:noProof/>
                <w:lang w:val="ru-RU" w:eastAsia="x-none"/>
              </w:rPr>
              <w:t>ՀԱՇՎԵՔՆՆՈՒԹՅԱՄԲ ԱՐՁԱՆԱԳՐՎԱԾ ԱՅԼ ՓԱՍՏԵՐ</w:t>
            </w:r>
            <w:r w:rsidR="00741082">
              <w:rPr>
                <w:noProof/>
                <w:webHidden/>
              </w:rPr>
              <w:tab/>
            </w:r>
            <w:r w:rsidR="00741082">
              <w:rPr>
                <w:noProof/>
                <w:webHidden/>
              </w:rPr>
              <w:fldChar w:fldCharType="begin"/>
            </w:r>
            <w:r w:rsidR="00741082">
              <w:rPr>
                <w:noProof/>
                <w:webHidden/>
              </w:rPr>
              <w:instrText xml:space="preserve"> PAGEREF _Toc109642758 \h </w:instrText>
            </w:r>
            <w:r w:rsidR="00741082">
              <w:rPr>
                <w:noProof/>
                <w:webHidden/>
              </w:rPr>
            </w:r>
            <w:r w:rsidR="00741082">
              <w:rPr>
                <w:noProof/>
                <w:webHidden/>
              </w:rPr>
              <w:fldChar w:fldCharType="separate"/>
            </w:r>
            <w:r w:rsidR="003F0349">
              <w:rPr>
                <w:noProof/>
                <w:webHidden/>
              </w:rPr>
              <w:t>8</w:t>
            </w:r>
            <w:r w:rsidR="00741082">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59" w:history="1">
            <w:r w:rsidR="00741082" w:rsidRPr="0062690D">
              <w:rPr>
                <w:rStyle w:val="Hyperlink"/>
                <w:rFonts w:eastAsia="Times New Roman" w:cstheme="majorBidi"/>
                <w:b/>
                <w:noProof/>
                <w:lang w:val="hy-AM"/>
              </w:rPr>
              <w:t>1.</w:t>
            </w:r>
            <w:r w:rsidR="00741082">
              <w:rPr>
                <w:rFonts w:asciiTheme="minorHAnsi" w:eastAsiaTheme="minorEastAsia" w:hAnsiTheme="minorHAnsi" w:cstheme="minorBidi"/>
                <w:noProof/>
                <w:sz w:val="22"/>
              </w:rPr>
              <w:tab/>
            </w:r>
            <w:r w:rsidR="00741082" w:rsidRPr="0062690D">
              <w:rPr>
                <w:rStyle w:val="Hyperlink"/>
                <w:rFonts w:eastAsia="Times New Roman" w:cstheme="majorBidi"/>
                <w:b/>
                <w:noProof/>
                <w:lang w:val="hy-AM"/>
              </w:rPr>
              <w:t>1205՝ Սոցիալական ապահովություն ծրագրի 12009՝ Հայաստանի Հանրապետության պաշտպանության ժամանակ զինծառայողների կյանքին կամ առողջությանը պատճառված վնասների հատուցման միջոցառման վերաբերյալ</w:t>
            </w:r>
            <w:r w:rsidR="00741082">
              <w:rPr>
                <w:noProof/>
                <w:webHidden/>
              </w:rPr>
              <w:tab/>
            </w:r>
            <w:r w:rsidR="00741082">
              <w:rPr>
                <w:noProof/>
                <w:webHidden/>
              </w:rPr>
              <w:fldChar w:fldCharType="begin"/>
            </w:r>
            <w:r w:rsidR="00741082">
              <w:rPr>
                <w:noProof/>
                <w:webHidden/>
              </w:rPr>
              <w:instrText xml:space="preserve"> PAGEREF _Toc109642759 \h </w:instrText>
            </w:r>
            <w:r w:rsidR="00741082">
              <w:rPr>
                <w:noProof/>
                <w:webHidden/>
              </w:rPr>
            </w:r>
            <w:r w:rsidR="00741082">
              <w:rPr>
                <w:noProof/>
                <w:webHidden/>
              </w:rPr>
              <w:fldChar w:fldCharType="separate"/>
            </w:r>
            <w:r w:rsidR="003F0349">
              <w:rPr>
                <w:noProof/>
                <w:webHidden/>
              </w:rPr>
              <w:t>9</w:t>
            </w:r>
            <w:r w:rsidR="00741082">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60" w:history="1">
            <w:r w:rsidR="00741082" w:rsidRPr="0062690D">
              <w:rPr>
                <w:rStyle w:val="Hyperlink"/>
                <w:rFonts w:eastAsia="Times New Roman" w:cstheme="majorBidi"/>
                <w:b/>
                <w:noProof/>
                <w:lang w:val="hy-AM"/>
              </w:rPr>
              <w:t>2.</w:t>
            </w:r>
            <w:r w:rsidR="00741082">
              <w:rPr>
                <w:rFonts w:asciiTheme="minorHAnsi" w:eastAsiaTheme="minorEastAsia" w:hAnsiTheme="minorHAnsi" w:cstheme="minorBidi"/>
                <w:noProof/>
                <w:sz w:val="22"/>
              </w:rPr>
              <w:tab/>
            </w:r>
            <w:r w:rsidR="00741082" w:rsidRPr="0062690D">
              <w:rPr>
                <w:rStyle w:val="Hyperlink"/>
                <w:rFonts w:eastAsia="Times New Roman" w:cstheme="majorBidi"/>
                <w:b/>
                <w:noProof/>
                <w:lang w:val="hy-AM"/>
              </w:rPr>
              <w:t>1102՝ Կենսաթոշակային ապահովություն ծրագրի 12005՝ Կուտակային հատկացումներ մասնակցի կենսաթոշակային հաշվին միջոցառման վերաբերյալ</w:t>
            </w:r>
            <w:r w:rsidR="00741082">
              <w:rPr>
                <w:noProof/>
                <w:webHidden/>
              </w:rPr>
              <w:tab/>
            </w:r>
            <w:r w:rsidR="00741082">
              <w:rPr>
                <w:noProof/>
                <w:webHidden/>
              </w:rPr>
              <w:fldChar w:fldCharType="begin"/>
            </w:r>
            <w:r w:rsidR="00741082">
              <w:rPr>
                <w:noProof/>
                <w:webHidden/>
              </w:rPr>
              <w:instrText xml:space="preserve"> PAGEREF _Toc109642760 \h </w:instrText>
            </w:r>
            <w:r w:rsidR="00741082">
              <w:rPr>
                <w:noProof/>
                <w:webHidden/>
              </w:rPr>
            </w:r>
            <w:r w:rsidR="00741082">
              <w:rPr>
                <w:noProof/>
                <w:webHidden/>
              </w:rPr>
              <w:fldChar w:fldCharType="separate"/>
            </w:r>
            <w:r w:rsidR="003F0349">
              <w:rPr>
                <w:noProof/>
                <w:webHidden/>
              </w:rPr>
              <w:t>12</w:t>
            </w:r>
            <w:r w:rsidR="00741082">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61" w:history="1">
            <w:r w:rsidR="00741082" w:rsidRPr="0062690D">
              <w:rPr>
                <w:rStyle w:val="Hyperlink"/>
                <w:rFonts w:eastAsia="Times New Roman" w:cstheme="majorBidi"/>
                <w:b/>
                <w:noProof/>
                <w:lang w:val="hy-AM"/>
              </w:rPr>
              <w:t>3.</w:t>
            </w:r>
            <w:r w:rsidR="00741082">
              <w:rPr>
                <w:rFonts w:asciiTheme="minorHAnsi" w:eastAsiaTheme="minorEastAsia" w:hAnsiTheme="minorHAnsi" w:cstheme="minorBidi"/>
                <w:noProof/>
                <w:sz w:val="22"/>
              </w:rPr>
              <w:tab/>
            </w:r>
            <w:r w:rsidR="00741082" w:rsidRPr="0062690D">
              <w:rPr>
                <w:rStyle w:val="Hyperlink"/>
                <w:rFonts w:eastAsia="Times New Roman" w:cstheme="majorBidi"/>
                <w:b/>
                <w:noProof/>
                <w:lang w:val="hy-AM"/>
              </w:rPr>
              <w:t>1023` Հարկային և մաքսային ծառայություններ ծրագրի 11001` Հարկային և մաքսային ծառայություններ  միջոցառման վերաբերյալ</w:t>
            </w:r>
            <w:r w:rsidR="00741082">
              <w:rPr>
                <w:noProof/>
                <w:webHidden/>
              </w:rPr>
              <w:tab/>
            </w:r>
            <w:r w:rsidR="00741082">
              <w:rPr>
                <w:noProof/>
                <w:webHidden/>
              </w:rPr>
              <w:fldChar w:fldCharType="begin"/>
            </w:r>
            <w:r w:rsidR="00741082">
              <w:rPr>
                <w:noProof/>
                <w:webHidden/>
              </w:rPr>
              <w:instrText xml:space="preserve"> PAGEREF _Toc109642761 \h </w:instrText>
            </w:r>
            <w:r w:rsidR="00741082">
              <w:rPr>
                <w:noProof/>
                <w:webHidden/>
              </w:rPr>
            </w:r>
            <w:r w:rsidR="00741082">
              <w:rPr>
                <w:noProof/>
                <w:webHidden/>
              </w:rPr>
              <w:fldChar w:fldCharType="separate"/>
            </w:r>
            <w:r w:rsidR="003F0349">
              <w:rPr>
                <w:noProof/>
                <w:webHidden/>
              </w:rPr>
              <w:t>15</w:t>
            </w:r>
            <w:r w:rsidR="00741082">
              <w:rPr>
                <w:noProof/>
                <w:webHidden/>
              </w:rPr>
              <w:fldChar w:fldCharType="end"/>
            </w:r>
          </w:hyperlink>
        </w:p>
        <w:p w:rsidR="00741082" w:rsidRDefault="008D58A9">
          <w:pPr>
            <w:pStyle w:val="TOC1"/>
            <w:tabs>
              <w:tab w:val="left" w:pos="1320"/>
              <w:tab w:val="right" w:leader="dot" w:pos="9350"/>
            </w:tabs>
            <w:rPr>
              <w:rFonts w:asciiTheme="minorHAnsi" w:eastAsiaTheme="minorEastAsia" w:hAnsiTheme="minorHAnsi" w:cstheme="minorBidi"/>
              <w:noProof/>
              <w:sz w:val="22"/>
            </w:rPr>
          </w:pPr>
          <w:hyperlink w:anchor="_Toc109642762" w:history="1">
            <w:r w:rsidR="00741082" w:rsidRPr="0062690D">
              <w:rPr>
                <w:rStyle w:val="Hyperlink"/>
                <w:rFonts w:eastAsia="Times New Roman" w:cstheme="majorBidi"/>
                <w:b/>
                <w:noProof/>
                <w:lang w:val="hy-AM"/>
              </w:rPr>
              <w:t>4.</w:t>
            </w:r>
            <w:r w:rsidR="00741082">
              <w:rPr>
                <w:rFonts w:asciiTheme="minorHAnsi" w:eastAsiaTheme="minorEastAsia" w:hAnsiTheme="minorHAnsi" w:cstheme="minorBidi"/>
                <w:noProof/>
                <w:sz w:val="22"/>
              </w:rPr>
              <w:tab/>
            </w:r>
            <w:r w:rsidR="00741082" w:rsidRPr="0062690D">
              <w:rPr>
                <w:rStyle w:val="Hyperlink"/>
                <w:rFonts w:eastAsia="Times New Roman" w:cstheme="majorBidi"/>
                <w:b/>
                <w:noProof/>
                <w:lang w:val="hy-AM"/>
              </w:rPr>
              <w:t>1023՝ Հարկային և մաքսային ծառայություններ ծրագրի 11004՝ դրոշմապիտակների ձեռքբերում   միջոցառման վերաբերյալ</w:t>
            </w:r>
            <w:r w:rsidR="00741082">
              <w:rPr>
                <w:noProof/>
                <w:webHidden/>
              </w:rPr>
              <w:tab/>
            </w:r>
            <w:r w:rsidR="00741082">
              <w:rPr>
                <w:noProof/>
                <w:webHidden/>
              </w:rPr>
              <w:fldChar w:fldCharType="begin"/>
            </w:r>
            <w:r w:rsidR="00741082">
              <w:rPr>
                <w:noProof/>
                <w:webHidden/>
              </w:rPr>
              <w:instrText xml:space="preserve"> PAGEREF _Toc109642762 \h </w:instrText>
            </w:r>
            <w:r w:rsidR="00741082">
              <w:rPr>
                <w:noProof/>
                <w:webHidden/>
              </w:rPr>
            </w:r>
            <w:r w:rsidR="00741082">
              <w:rPr>
                <w:noProof/>
                <w:webHidden/>
              </w:rPr>
              <w:fldChar w:fldCharType="separate"/>
            </w:r>
            <w:r w:rsidR="003F0349">
              <w:rPr>
                <w:noProof/>
                <w:webHidden/>
              </w:rPr>
              <w:t>15</w:t>
            </w:r>
            <w:r w:rsidR="00741082">
              <w:rPr>
                <w:noProof/>
                <w:webHidden/>
              </w:rPr>
              <w:fldChar w:fldCharType="end"/>
            </w:r>
          </w:hyperlink>
        </w:p>
        <w:p w:rsidR="00741082" w:rsidRDefault="00741082">
          <w:r>
            <w:rPr>
              <w:b/>
              <w:bCs/>
              <w:noProof/>
            </w:rPr>
            <w:fldChar w:fldCharType="end"/>
          </w:r>
        </w:p>
      </w:sdtContent>
    </w:sdt>
    <w:p w:rsidR="00B625A1" w:rsidRDefault="00B625A1" w:rsidP="00B625A1">
      <w:pPr>
        <w:spacing w:before="0" w:after="160" w:line="256" w:lineRule="auto"/>
        <w:ind w:firstLine="0"/>
        <w:jc w:val="center"/>
        <w:rPr>
          <w:rFonts w:cs="Sylfaen"/>
          <w:b/>
          <w:bCs/>
          <w:color w:val="0070C0"/>
          <w:sz w:val="28"/>
          <w:szCs w:val="28"/>
        </w:rPr>
      </w:pPr>
    </w:p>
    <w:p w:rsidR="00B625A1" w:rsidRDefault="00B625A1"/>
    <w:p w:rsidR="00B625A1" w:rsidRDefault="00B625A1"/>
    <w:p w:rsidR="00B625A1" w:rsidRDefault="00B625A1"/>
    <w:p w:rsidR="00B625A1" w:rsidRDefault="00B625A1"/>
    <w:p w:rsidR="00B625A1" w:rsidRDefault="00B625A1"/>
    <w:p w:rsidR="00B625A1" w:rsidRDefault="00B625A1"/>
    <w:p w:rsidR="00B625A1" w:rsidRDefault="00B625A1"/>
    <w:tbl>
      <w:tblPr>
        <w:tblpPr w:leftFromText="180" w:rightFromText="180" w:vertAnchor="text" w:horzAnchor="margin" w:tblpY="364"/>
        <w:tblW w:w="9432" w:type="dxa"/>
        <w:tblLook w:val="04A0" w:firstRow="1" w:lastRow="0" w:firstColumn="1" w:lastColumn="0" w:noHBand="0" w:noVBand="1"/>
      </w:tblPr>
      <w:tblGrid>
        <w:gridCol w:w="2718"/>
        <w:gridCol w:w="6714"/>
      </w:tblGrid>
      <w:tr w:rsidR="00B625A1" w:rsidRPr="00B625A1" w:rsidTr="00157062">
        <w:tc>
          <w:tcPr>
            <w:tcW w:w="2718" w:type="dxa"/>
          </w:tcPr>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lastRenderedPageBreak/>
              <w:t>Հաշվեքննության</w:t>
            </w:r>
            <w:proofErr w:type="spellEnd"/>
            <w:r w:rsidRPr="00B625A1">
              <w:rPr>
                <w:b/>
                <w:color w:val="0070C0"/>
                <w:szCs w:val="24"/>
              </w:rPr>
              <w:t xml:space="preserve"> </w:t>
            </w:r>
            <w:proofErr w:type="spellStart"/>
            <w:r w:rsidRPr="00B625A1">
              <w:rPr>
                <w:b/>
                <w:color w:val="0070C0"/>
                <w:szCs w:val="24"/>
              </w:rPr>
              <w:t>հիմքը</w:t>
            </w:r>
            <w:proofErr w:type="spellEnd"/>
          </w:p>
          <w:p w:rsidR="00B625A1" w:rsidRPr="00B625A1" w:rsidRDefault="00B625A1" w:rsidP="00B625A1">
            <w:pPr>
              <w:spacing w:before="0" w:after="0" w:line="240" w:lineRule="auto"/>
              <w:ind w:firstLine="0"/>
              <w:jc w:val="left"/>
              <w:rPr>
                <w:b/>
                <w:color w:val="0070C0"/>
                <w:szCs w:val="24"/>
              </w:rPr>
            </w:pPr>
          </w:p>
        </w:tc>
        <w:tc>
          <w:tcPr>
            <w:tcW w:w="6714" w:type="dxa"/>
          </w:tcPr>
          <w:p w:rsidR="00B625A1" w:rsidRPr="00B625A1" w:rsidRDefault="00B625A1" w:rsidP="00B625A1">
            <w:pPr>
              <w:spacing w:before="0" w:after="0" w:line="240" w:lineRule="auto"/>
              <w:ind w:firstLine="0"/>
              <w:rPr>
                <w:szCs w:val="24"/>
              </w:rPr>
            </w:pPr>
            <w:r w:rsidRPr="00B625A1">
              <w:rPr>
                <w:szCs w:val="24"/>
              </w:rPr>
              <w:t xml:space="preserve">ՀՀ </w:t>
            </w:r>
            <w:proofErr w:type="spellStart"/>
            <w:r w:rsidRPr="00B625A1">
              <w:rPr>
                <w:szCs w:val="24"/>
              </w:rPr>
              <w:t>հաշվեքննիչ</w:t>
            </w:r>
            <w:proofErr w:type="spellEnd"/>
            <w:r w:rsidRPr="00B625A1">
              <w:rPr>
                <w:szCs w:val="24"/>
              </w:rPr>
              <w:t xml:space="preserve"> </w:t>
            </w:r>
            <w:proofErr w:type="spellStart"/>
            <w:r w:rsidRPr="00B625A1">
              <w:rPr>
                <w:szCs w:val="24"/>
              </w:rPr>
              <w:t>պալատի</w:t>
            </w:r>
            <w:proofErr w:type="spellEnd"/>
            <w:r w:rsidRPr="00741082">
              <w:rPr>
                <w:szCs w:val="24"/>
              </w:rPr>
              <w:t xml:space="preserve"> 2022</w:t>
            </w:r>
            <w:r w:rsidRPr="00B625A1">
              <w:rPr>
                <w:szCs w:val="24"/>
              </w:rPr>
              <w:t xml:space="preserve"> </w:t>
            </w:r>
            <w:proofErr w:type="spellStart"/>
            <w:r w:rsidRPr="00B625A1">
              <w:rPr>
                <w:szCs w:val="24"/>
              </w:rPr>
              <w:t>թվականի</w:t>
            </w:r>
            <w:proofErr w:type="spellEnd"/>
            <w:r w:rsidRPr="00B625A1">
              <w:rPr>
                <w:szCs w:val="24"/>
              </w:rPr>
              <w:t xml:space="preserve"> </w:t>
            </w:r>
            <w:r w:rsidRPr="00741082">
              <w:rPr>
                <w:rFonts w:eastAsia="Calibri" w:cs="Sylfaen"/>
                <w:szCs w:val="24"/>
                <w:lang w:val="hy-AM"/>
              </w:rPr>
              <w:t>ապրիլի 22-ի   թիվ 91</w:t>
            </w:r>
            <w:r w:rsidRPr="00B625A1">
              <w:rPr>
                <w:szCs w:val="24"/>
              </w:rPr>
              <w:t xml:space="preserve">-Ա </w:t>
            </w:r>
            <w:proofErr w:type="spellStart"/>
            <w:r w:rsidRPr="00B625A1">
              <w:rPr>
                <w:szCs w:val="24"/>
              </w:rPr>
              <w:t>որոշում</w:t>
            </w:r>
            <w:proofErr w:type="spellEnd"/>
            <w:r w:rsidRPr="00B625A1">
              <w:rPr>
                <w:szCs w:val="24"/>
              </w:rPr>
              <w:t>։</w:t>
            </w:r>
          </w:p>
          <w:p w:rsidR="00B625A1" w:rsidRPr="00B625A1" w:rsidRDefault="00B625A1" w:rsidP="00B625A1">
            <w:pPr>
              <w:spacing w:before="0" w:after="0" w:line="240" w:lineRule="auto"/>
              <w:ind w:firstLine="0"/>
              <w:rPr>
                <w:szCs w:val="24"/>
              </w:rPr>
            </w:pPr>
          </w:p>
        </w:tc>
      </w:tr>
      <w:tr w:rsidR="00B625A1" w:rsidRPr="00B625A1" w:rsidTr="00157062">
        <w:tc>
          <w:tcPr>
            <w:tcW w:w="2718" w:type="dxa"/>
          </w:tcPr>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օբյեկտը</w:t>
            </w:r>
            <w:proofErr w:type="spellEnd"/>
          </w:p>
          <w:p w:rsidR="00B625A1" w:rsidRPr="00B625A1" w:rsidRDefault="00B625A1" w:rsidP="00B625A1">
            <w:pPr>
              <w:spacing w:before="0" w:after="0" w:line="240" w:lineRule="auto"/>
              <w:ind w:firstLine="0"/>
              <w:jc w:val="left"/>
              <w:rPr>
                <w:b/>
                <w:color w:val="0070C0"/>
                <w:szCs w:val="24"/>
              </w:rPr>
            </w:pPr>
          </w:p>
        </w:tc>
        <w:tc>
          <w:tcPr>
            <w:tcW w:w="6714" w:type="dxa"/>
          </w:tcPr>
          <w:p w:rsidR="00B625A1" w:rsidRPr="00B625A1" w:rsidRDefault="00B625A1" w:rsidP="00B625A1">
            <w:pPr>
              <w:spacing w:before="0" w:after="0" w:line="240" w:lineRule="auto"/>
              <w:ind w:firstLine="0"/>
              <w:rPr>
                <w:szCs w:val="24"/>
              </w:rPr>
            </w:pPr>
            <w:r w:rsidRPr="00741082">
              <w:rPr>
                <w:rFonts w:eastAsia="Calibri" w:cs="Sylfaen"/>
                <w:szCs w:val="24"/>
                <w:lang w:val="hy-AM"/>
              </w:rPr>
              <w:t xml:space="preserve">ՀՀ  պետական եկամուտների </w:t>
            </w:r>
            <w:r w:rsidR="006069D0">
              <w:rPr>
                <w:rFonts w:eastAsia="Calibri" w:cs="Sylfaen"/>
                <w:szCs w:val="24"/>
                <w:lang w:val="hy-AM"/>
              </w:rPr>
              <w:t>կոմիտե</w:t>
            </w:r>
            <w:r w:rsidRPr="00B625A1">
              <w:rPr>
                <w:szCs w:val="24"/>
              </w:rPr>
              <w:t>։</w:t>
            </w:r>
          </w:p>
          <w:p w:rsidR="00B625A1" w:rsidRPr="00B625A1" w:rsidRDefault="00B625A1" w:rsidP="00B625A1">
            <w:pPr>
              <w:spacing w:before="0" w:after="0" w:line="240" w:lineRule="auto"/>
              <w:ind w:firstLine="0"/>
              <w:rPr>
                <w:szCs w:val="24"/>
              </w:rPr>
            </w:pPr>
          </w:p>
        </w:tc>
      </w:tr>
      <w:tr w:rsidR="00B625A1" w:rsidRPr="00B625A1" w:rsidTr="00157062">
        <w:tc>
          <w:tcPr>
            <w:tcW w:w="2718" w:type="dxa"/>
          </w:tcPr>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առարկան</w:t>
            </w:r>
            <w:proofErr w:type="spellEnd"/>
          </w:p>
          <w:p w:rsidR="00B625A1" w:rsidRPr="00B625A1" w:rsidRDefault="00B625A1" w:rsidP="00B625A1">
            <w:pPr>
              <w:spacing w:before="0" w:after="0" w:line="240" w:lineRule="auto"/>
              <w:ind w:firstLine="0"/>
              <w:jc w:val="left"/>
              <w:rPr>
                <w:b/>
                <w:color w:val="0070C0"/>
                <w:szCs w:val="24"/>
              </w:rPr>
            </w:pPr>
          </w:p>
        </w:tc>
        <w:tc>
          <w:tcPr>
            <w:tcW w:w="6714" w:type="dxa"/>
          </w:tcPr>
          <w:p w:rsidR="00B625A1" w:rsidRPr="00B625A1" w:rsidRDefault="00B625A1" w:rsidP="00B625A1">
            <w:pPr>
              <w:tabs>
                <w:tab w:val="left" w:pos="851"/>
              </w:tabs>
              <w:spacing w:before="0" w:after="0" w:line="240" w:lineRule="auto"/>
              <w:ind w:firstLine="0"/>
              <w:rPr>
                <w:rFonts w:eastAsia="Times New Roman"/>
                <w:szCs w:val="24"/>
                <w:lang w:val="hy-AM"/>
              </w:rPr>
            </w:pPr>
            <w:r w:rsidRPr="00741082">
              <w:rPr>
                <w:szCs w:val="24"/>
              </w:rPr>
              <w:t>2022</w:t>
            </w:r>
            <w:r w:rsidRPr="00B625A1">
              <w:rPr>
                <w:szCs w:val="24"/>
              </w:rPr>
              <w:t xml:space="preserve"> </w:t>
            </w:r>
            <w:proofErr w:type="spellStart"/>
            <w:r w:rsidRPr="00B625A1">
              <w:rPr>
                <w:szCs w:val="24"/>
              </w:rPr>
              <w:t>թվականի</w:t>
            </w:r>
            <w:proofErr w:type="spellEnd"/>
            <w:r w:rsidRPr="00B625A1">
              <w:rPr>
                <w:szCs w:val="24"/>
              </w:rPr>
              <w:t xml:space="preserve"> </w:t>
            </w:r>
            <w:proofErr w:type="spellStart"/>
            <w:r w:rsidRPr="00741082">
              <w:rPr>
                <w:szCs w:val="24"/>
              </w:rPr>
              <w:t>երեք</w:t>
            </w:r>
            <w:proofErr w:type="spellEnd"/>
            <w:r w:rsidRPr="00741082">
              <w:rPr>
                <w:szCs w:val="24"/>
              </w:rPr>
              <w:t xml:space="preserve"> </w:t>
            </w:r>
            <w:proofErr w:type="spellStart"/>
            <w:r w:rsidRPr="00741082">
              <w:rPr>
                <w:szCs w:val="24"/>
              </w:rPr>
              <w:t>ամիսների</w:t>
            </w:r>
            <w:proofErr w:type="spellEnd"/>
            <w:r w:rsidRPr="00741082">
              <w:rPr>
                <w:szCs w:val="24"/>
              </w:rPr>
              <w:t xml:space="preserve"> </w:t>
            </w:r>
            <w:proofErr w:type="spellStart"/>
            <w:r w:rsidRPr="00B625A1">
              <w:rPr>
                <w:szCs w:val="24"/>
              </w:rPr>
              <w:t>պետական</w:t>
            </w:r>
            <w:proofErr w:type="spellEnd"/>
            <w:r w:rsidRPr="00B625A1">
              <w:rPr>
                <w:szCs w:val="24"/>
              </w:rPr>
              <w:t xml:space="preserve"> </w:t>
            </w:r>
            <w:proofErr w:type="spellStart"/>
            <w:r w:rsidRPr="00B625A1">
              <w:rPr>
                <w:szCs w:val="24"/>
              </w:rPr>
              <w:t>բյուջեի</w:t>
            </w:r>
            <w:proofErr w:type="spellEnd"/>
            <w:r w:rsidRPr="00B625A1">
              <w:rPr>
                <w:szCs w:val="24"/>
              </w:rPr>
              <w:t xml:space="preserve"> </w:t>
            </w:r>
            <w:proofErr w:type="spellStart"/>
            <w:r w:rsidRPr="00B625A1">
              <w:rPr>
                <w:szCs w:val="24"/>
              </w:rPr>
              <w:t>մուտքերի</w:t>
            </w:r>
            <w:proofErr w:type="spellEnd"/>
            <w:r w:rsidRPr="00B625A1">
              <w:rPr>
                <w:szCs w:val="24"/>
              </w:rPr>
              <w:t xml:space="preserve"> </w:t>
            </w:r>
            <w:proofErr w:type="spellStart"/>
            <w:r w:rsidRPr="00B625A1">
              <w:rPr>
                <w:szCs w:val="24"/>
              </w:rPr>
              <w:t>ձևա</w:t>
            </w:r>
            <w:r w:rsidRPr="00B625A1">
              <w:rPr>
                <w:szCs w:val="24"/>
              </w:rPr>
              <w:softHyphen/>
              <w:t>վորման</w:t>
            </w:r>
            <w:proofErr w:type="spellEnd"/>
            <w:r w:rsidRPr="00B625A1">
              <w:rPr>
                <w:szCs w:val="24"/>
              </w:rPr>
              <w:t xml:space="preserve"> և </w:t>
            </w:r>
            <w:proofErr w:type="spellStart"/>
            <w:r w:rsidRPr="00B625A1">
              <w:rPr>
                <w:szCs w:val="24"/>
              </w:rPr>
              <w:t>ելքերի</w:t>
            </w:r>
            <w:proofErr w:type="spellEnd"/>
            <w:r w:rsidRPr="00B625A1">
              <w:rPr>
                <w:szCs w:val="24"/>
              </w:rPr>
              <w:t xml:space="preserve"> </w:t>
            </w:r>
            <w:proofErr w:type="spellStart"/>
            <w:r w:rsidRPr="00B625A1">
              <w:rPr>
                <w:szCs w:val="24"/>
              </w:rPr>
              <w:t>իրականացման</w:t>
            </w:r>
            <w:proofErr w:type="spellEnd"/>
            <w:r w:rsidRPr="00B625A1">
              <w:rPr>
                <w:szCs w:val="24"/>
              </w:rPr>
              <w:t xml:space="preserve"> </w:t>
            </w:r>
            <w:proofErr w:type="spellStart"/>
            <w:r w:rsidRPr="00B625A1">
              <w:rPr>
                <w:szCs w:val="24"/>
              </w:rPr>
              <w:t>կանոնակարգված</w:t>
            </w:r>
            <w:proofErr w:type="spellEnd"/>
            <w:r w:rsidRPr="00B625A1">
              <w:rPr>
                <w:szCs w:val="24"/>
              </w:rPr>
              <w:t xml:space="preserve"> </w:t>
            </w:r>
            <w:proofErr w:type="spellStart"/>
            <w:r w:rsidRPr="00B625A1">
              <w:rPr>
                <w:szCs w:val="24"/>
              </w:rPr>
              <w:t>գոր</w:t>
            </w:r>
            <w:r w:rsidRPr="00B625A1">
              <w:rPr>
                <w:szCs w:val="24"/>
              </w:rPr>
              <w:softHyphen/>
              <w:t>ծու</w:t>
            </w:r>
            <w:r w:rsidRPr="00B625A1">
              <w:rPr>
                <w:szCs w:val="24"/>
              </w:rPr>
              <w:softHyphen/>
              <w:t>նեություն</w:t>
            </w:r>
            <w:proofErr w:type="spellEnd"/>
            <w:r w:rsidRPr="00B625A1">
              <w:rPr>
                <w:rFonts w:eastAsia="Times New Roman"/>
                <w:szCs w:val="24"/>
                <w:lang w:val="hy-AM"/>
              </w:rPr>
              <w:t>:</w:t>
            </w:r>
          </w:p>
          <w:p w:rsidR="00B625A1" w:rsidRPr="00B625A1" w:rsidRDefault="00B625A1" w:rsidP="00B625A1">
            <w:pPr>
              <w:spacing w:before="0" w:after="0" w:line="240" w:lineRule="auto"/>
              <w:ind w:firstLine="0"/>
              <w:rPr>
                <w:szCs w:val="24"/>
                <w:lang w:val="hy-AM"/>
              </w:rPr>
            </w:pPr>
          </w:p>
        </w:tc>
      </w:tr>
      <w:tr w:rsidR="00B625A1" w:rsidRPr="000A4CF3" w:rsidTr="00157062">
        <w:tc>
          <w:tcPr>
            <w:tcW w:w="2718" w:type="dxa"/>
          </w:tcPr>
          <w:p w:rsidR="00B625A1" w:rsidRPr="00B625A1" w:rsidRDefault="00B625A1" w:rsidP="00B625A1">
            <w:pPr>
              <w:spacing w:before="0" w:after="0" w:line="240" w:lineRule="auto"/>
              <w:ind w:firstLine="0"/>
              <w:jc w:val="left"/>
              <w:rPr>
                <w:b/>
                <w:color w:val="0070C0"/>
                <w:szCs w:val="24"/>
                <w:lang w:val="hy-AM"/>
              </w:rPr>
            </w:pPr>
            <w:r w:rsidRPr="00B625A1">
              <w:rPr>
                <w:b/>
                <w:color w:val="0070C0"/>
                <w:szCs w:val="24"/>
                <w:lang w:val="hy-AM"/>
              </w:rPr>
              <w:t>Հաշվեքննության չափանիշները</w:t>
            </w:r>
          </w:p>
          <w:p w:rsidR="00B625A1" w:rsidRPr="00B625A1" w:rsidRDefault="00B625A1" w:rsidP="00B625A1">
            <w:pPr>
              <w:spacing w:before="0" w:after="0" w:line="240" w:lineRule="auto"/>
              <w:ind w:firstLine="0"/>
              <w:jc w:val="left"/>
              <w:rPr>
                <w:b/>
                <w:color w:val="0070C0"/>
                <w:szCs w:val="24"/>
                <w:lang w:val="hy-AM"/>
              </w:rPr>
            </w:pPr>
          </w:p>
        </w:tc>
        <w:tc>
          <w:tcPr>
            <w:tcW w:w="6714" w:type="dxa"/>
          </w:tcPr>
          <w:p w:rsidR="00F32F0E" w:rsidRPr="00741082" w:rsidRDefault="00B625A1" w:rsidP="00B625A1">
            <w:pPr>
              <w:spacing w:before="0" w:after="0" w:line="240" w:lineRule="auto"/>
              <w:ind w:firstLine="0"/>
              <w:rPr>
                <w:bCs/>
                <w:szCs w:val="24"/>
                <w:lang w:val="hy-AM"/>
              </w:rPr>
            </w:pPr>
            <w:r w:rsidRPr="00B625A1">
              <w:rPr>
                <w:bCs/>
                <w:szCs w:val="24"/>
                <w:lang w:val="hy-AM"/>
              </w:rPr>
              <w:t>1</w:t>
            </w:r>
            <w:r w:rsidRPr="00B625A1">
              <w:rPr>
                <w:rFonts w:ascii="Cambria Math" w:hAnsi="Cambria Math" w:cs="Cambria Math"/>
                <w:bCs/>
                <w:szCs w:val="24"/>
                <w:lang w:val="hy-AM"/>
              </w:rPr>
              <w:t>․</w:t>
            </w:r>
            <w:r w:rsidRPr="00B625A1">
              <w:rPr>
                <w:bCs/>
                <w:szCs w:val="24"/>
                <w:lang w:val="hy-AM"/>
              </w:rPr>
              <w:t xml:space="preserve"> </w:t>
            </w:r>
            <w:r w:rsidR="00F32F0E" w:rsidRPr="00741082">
              <w:rPr>
                <w:bCs/>
                <w:szCs w:val="24"/>
                <w:lang w:val="hy-AM"/>
              </w:rPr>
              <w:t xml:space="preserve">«Բյուջետային համակարգի մասին» ՀՀ օրենք,  </w:t>
            </w:r>
          </w:p>
          <w:p w:rsidR="00F32F0E" w:rsidRPr="00741082" w:rsidRDefault="00F32F0E" w:rsidP="00B625A1">
            <w:pPr>
              <w:spacing w:before="0" w:after="0" w:line="240" w:lineRule="auto"/>
              <w:ind w:firstLine="0"/>
              <w:rPr>
                <w:bCs/>
                <w:szCs w:val="24"/>
                <w:lang w:val="hy-AM"/>
              </w:rPr>
            </w:pPr>
            <w:r w:rsidRPr="00741082">
              <w:rPr>
                <w:bCs/>
                <w:szCs w:val="24"/>
                <w:lang w:val="hy-AM"/>
              </w:rPr>
              <w:t>2.ՀՀ պետական բյուջեի</w:t>
            </w:r>
            <w:r w:rsidR="006069D0">
              <w:rPr>
                <w:bCs/>
                <w:szCs w:val="24"/>
                <w:lang w:val="hy-AM"/>
              </w:rPr>
              <w:t xml:space="preserve"> 2022</w:t>
            </w:r>
            <w:r w:rsidRPr="00741082">
              <w:rPr>
                <w:bCs/>
                <w:szCs w:val="24"/>
                <w:lang w:val="hy-AM"/>
              </w:rPr>
              <w:t xml:space="preserve"> թվականի</w:t>
            </w:r>
            <w:r w:rsidR="006069D0" w:rsidRPr="006069D0">
              <w:rPr>
                <w:bCs/>
                <w:szCs w:val="24"/>
                <w:lang w:val="hy-AM"/>
              </w:rPr>
              <w:t xml:space="preserve"> երեք ամիսների</w:t>
            </w:r>
            <w:r w:rsidRPr="00741082">
              <w:rPr>
                <w:bCs/>
                <w:szCs w:val="24"/>
                <w:lang w:val="hy-AM"/>
              </w:rPr>
              <w:t xml:space="preserve"> կատարողականի վերաբերյալ հաշվետվություն, </w:t>
            </w:r>
          </w:p>
          <w:p w:rsidR="00F32F0E" w:rsidRPr="00741082" w:rsidRDefault="00F32F0E" w:rsidP="00B625A1">
            <w:pPr>
              <w:spacing w:before="0" w:after="0" w:line="240" w:lineRule="auto"/>
              <w:ind w:firstLine="0"/>
              <w:rPr>
                <w:bCs/>
                <w:szCs w:val="24"/>
                <w:lang w:val="hy-AM"/>
              </w:rPr>
            </w:pPr>
            <w:r w:rsidRPr="00741082">
              <w:rPr>
                <w:bCs/>
                <w:szCs w:val="24"/>
                <w:lang w:val="hy-AM"/>
              </w:rPr>
              <w:t xml:space="preserve">3.«Մաքսային ծառայության մասին» ՀՀ օրենք, </w:t>
            </w:r>
          </w:p>
          <w:p w:rsidR="00F32F0E" w:rsidRPr="00741082" w:rsidRDefault="00F32F0E" w:rsidP="00B625A1">
            <w:pPr>
              <w:spacing w:before="0" w:after="0" w:line="240" w:lineRule="auto"/>
              <w:ind w:firstLine="0"/>
              <w:rPr>
                <w:bCs/>
                <w:szCs w:val="24"/>
                <w:lang w:val="hy-AM"/>
              </w:rPr>
            </w:pPr>
            <w:r w:rsidRPr="00741082">
              <w:rPr>
                <w:bCs/>
                <w:szCs w:val="24"/>
                <w:lang w:val="hy-AM"/>
              </w:rPr>
              <w:t xml:space="preserve">4.«Հարկային ծառայության մասին» ՀՀ օրենք, </w:t>
            </w:r>
          </w:p>
          <w:p w:rsidR="00F32F0E" w:rsidRPr="00741082" w:rsidRDefault="00F32F0E" w:rsidP="00B625A1">
            <w:pPr>
              <w:spacing w:before="0" w:after="0" w:line="240" w:lineRule="auto"/>
              <w:ind w:firstLine="0"/>
              <w:rPr>
                <w:bCs/>
                <w:szCs w:val="24"/>
                <w:lang w:val="hy-AM"/>
              </w:rPr>
            </w:pPr>
            <w:r w:rsidRPr="00741082">
              <w:rPr>
                <w:bCs/>
                <w:szCs w:val="24"/>
                <w:lang w:val="hy-AM"/>
              </w:rPr>
              <w:t xml:space="preserve">5. «Գնումների մասին» ՀՀ օրենք, </w:t>
            </w:r>
          </w:p>
          <w:p w:rsidR="00F32F0E" w:rsidRPr="00741082" w:rsidRDefault="00F32F0E" w:rsidP="00B625A1">
            <w:pPr>
              <w:spacing w:before="0" w:after="0" w:line="240" w:lineRule="auto"/>
              <w:ind w:firstLine="0"/>
              <w:rPr>
                <w:bCs/>
                <w:szCs w:val="24"/>
                <w:lang w:val="hy-AM"/>
              </w:rPr>
            </w:pPr>
            <w:r w:rsidRPr="00741082">
              <w:rPr>
                <w:bCs/>
                <w:szCs w:val="24"/>
                <w:lang w:val="hy-AM"/>
              </w:rPr>
              <w:t xml:space="preserve">6.«Քաղաքացիական ծառայության մասին» ՀՀ օրենք, </w:t>
            </w:r>
          </w:p>
          <w:p w:rsidR="00F32F0E" w:rsidRPr="00741082" w:rsidRDefault="00F32F0E" w:rsidP="00B625A1">
            <w:pPr>
              <w:spacing w:before="0" w:after="0" w:line="240" w:lineRule="auto"/>
              <w:ind w:firstLine="0"/>
              <w:rPr>
                <w:bCs/>
                <w:szCs w:val="24"/>
                <w:lang w:val="hy-AM"/>
              </w:rPr>
            </w:pPr>
            <w:r w:rsidRPr="00741082">
              <w:rPr>
                <w:bCs/>
                <w:szCs w:val="24"/>
                <w:lang w:val="hy-AM"/>
              </w:rPr>
              <w:t xml:space="preserve">7.«Ներքին աուդիտի մասին» ՀՀ օրենք,  </w:t>
            </w:r>
          </w:p>
          <w:p w:rsidR="00F32F0E" w:rsidRPr="00741082" w:rsidRDefault="00F32F0E" w:rsidP="00B625A1">
            <w:pPr>
              <w:spacing w:before="0" w:after="0" w:line="240" w:lineRule="auto"/>
              <w:ind w:firstLine="0"/>
              <w:rPr>
                <w:bCs/>
                <w:szCs w:val="24"/>
                <w:lang w:val="hy-AM"/>
              </w:rPr>
            </w:pPr>
            <w:r w:rsidRPr="00741082">
              <w:rPr>
                <w:bCs/>
                <w:szCs w:val="24"/>
                <w:lang w:val="hy-AM"/>
              </w:rPr>
              <w:t xml:space="preserve">8.ՀՀ աշխատանքային օրենսգիրք,  </w:t>
            </w:r>
          </w:p>
          <w:p w:rsidR="00B625A1" w:rsidRPr="00B625A1" w:rsidRDefault="00F32F0E" w:rsidP="00B625A1">
            <w:pPr>
              <w:spacing w:before="0" w:after="0" w:line="240" w:lineRule="auto"/>
              <w:ind w:firstLine="0"/>
              <w:rPr>
                <w:bCs/>
                <w:szCs w:val="24"/>
                <w:lang w:val="hy-AM"/>
              </w:rPr>
            </w:pPr>
            <w:r w:rsidRPr="00741082">
              <w:rPr>
                <w:bCs/>
                <w:szCs w:val="24"/>
                <w:lang w:val="hy-AM"/>
              </w:rPr>
              <w:t>9.Պետության կողմից դրամաշնորհի ձևով տրամադրվող ֆինանսական աջակցության գումարների օգտագործման մասին պայմանագրեր։</w:t>
            </w:r>
          </w:p>
          <w:p w:rsidR="00B625A1" w:rsidRPr="00B625A1" w:rsidRDefault="00B625A1" w:rsidP="00B625A1">
            <w:pPr>
              <w:spacing w:before="0" w:after="0" w:line="240" w:lineRule="auto"/>
              <w:ind w:firstLine="0"/>
              <w:rPr>
                <w:bCs/>
                <w:szCs w:val="24"/>
                <w:lang w:val="hy-AM"/>
              </w:rPr>
            </w:pPr>
          </w:p>
        </w:tc>
      </w:tr>
      <w:tr w:rsidR="00B625A1" w:rsidRPr="00B625A1" w:rsidTr="00157062">
        <w:tc>
          <w:tcPr>
            <w:tcW w:w="2718" w:type="dxa"/>
          </w:tcPr>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t>Հաշվեքննությունն</w:t>
            </w:r>
            <w:proofErr w:type="spellEnd"/>
            <w:r w:rsidRPr="00B625A1">
              <w:rPr>
                <w:b/>
                <w:color w:val="0070C0"/>
                <w:szCs w:val="24"/>
              </w:rPr>
              <w:t xml:space="preserve"> </w:t>
            </w:r>
          </w:p>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t>ընդգրկող</w:t>
            </w:r>
            <w:proofErr w:type="spellEnd"/>
            <w:r w:rsidRPr="00B625A1">
              <w:rPr>
                <w:b/>
                <w:color w:val="0070C0"/>
                <w:szCs w:val="24"/>
              </w:rPr>
              <w:t xml:space="preserve"> </w:t>
            </w:r>
            <w:proofErr w:type="spellStart"/>
            <w:r w:rsidRPr="00B625A1">
              <w:rPr>
                <w:b/>
                <w:color w:val="0070C0"/>
                <w:szCs w:val="24"/>
              </w:rPr>
              <w:t>ժամանակաշրջանը</w:t>
            </w:r>
            <w:proofErr w:type="spellEnd"/>
          </w:p>
          <w:p w:rsidR="00B625A1" w:rsidRPr="00B625A1" w:rsidRDefault="00B625A1" w:rsidP="00B625A1">
            <w:pPr>
              <w:spacing w:before="0" w:after="0" w:line="240" w:lineRule="auto"/>
              <w:ind w:firstLine="0"/>
              <w:jc w:val="left"/>
              <w:rPr>
                <w:b/>
                <w:color w:val="0070C0"/>
                <w:szCs w:val="24"/>
              </w:rPr>
            </w:pPr>
          </w:p>
        </w:tc>
        <w:tc>
          <w:tcPr>
            <w:tcW w:w="6714" w:type="dxa"/>
            <w:hideMark/>
          </w:tcPr>
          <w:p w:rsidR="00B625A1" w:rsidRPr="00B625A1" w:rsidRDefault="00F32F0E" w:rsidP="00F32F0E">
            <w:pPr>
              <w:tabs>
                <w:tab w:val="left" w:pos="851"/>
              </w:tabs>
              <w:spacing w:before="0" w:after="0" w:line="240" w:lineRule="auto"/>
              <w:ind w:firstLine="0"/>
              <w:rPr>
                <w:szCs w:val="24"/>
                <w:lang w:val="hy-AM"/>
              </w:rPr>
            </w:pPr>
            <w:r w:rsidRPr="00741082">
              <w:rPr>
                <w:szCs w:val="24"/>
              </w:rPr>
              <w:t>2022</w:t>
            </w:r>
            <w:r w:rsidR="00B625A1" w:rsidRPr="00B625A1">
              <w:rPr>
                <w:szCs w:val="24"/>
              </w:rPr>
              <w:t xml:space="preserve"> </w:t>
            </w:r>
            <w:proofErr w:type="spellStart"/>
            <w:r w:rsidR="00B625A1" w:rsidRPr="00B625A1">
              <w:rPr>
                <w:szCs w:val="24"/>
              </w:rPr>
              <w:t>թվականի</w:t>
            </w:r>
            <w:proofErr w:type="spellEnd"/>
            <w:r w:rsidR="00B625A1" w:rsidRPr="00B625A1">
              <w:rPr>
                <w:szCs w:val="24"/>
              </w:rPr>
              <w:t xml:space="preserve"> </w:t>
            </w:r>
            <w:proofErr w:type="spellStart"/>
            <w:r w:rsidR="00B625A1" w:rsidRPr="00B625A1">
              <w:rPr>
                <w:szCs w:val="24"/>
              </w:rPr>
              <w:t>հունվարի</w:t>
            </w:r>
            <w:proofErr w:type="spellEnd"/>
            <w:r w:rsidR="00B625A1" w:rsidRPr="00B625A1">
              <w:rPr>
                <w:szCs w:val="24"/>
              </w:rPr>
              <w:t xml:space="preserve"> 1–</w:t>
            </w:r>
            <w:proofErr w:type="spellStart"/>
            <w:r w:rsidR="00B625A1" w:rsidRPr="00B625A1">
              <w:rPr>
                <w:szCs w:val="24"/>
              </w:rPr>
              <w:t>ից</w:t>
            </w:r>
            <w:proofErr w:type="spellEnd"/>
            <w:r w:rsidR="00B625A1" w:rsidRPr="00B625A1">
              <w:rPr>
                <w:szCs w:val="24"/>
              </w:rPr>
              <w:t xml:space="preserve"> </w:t>
            </w:r>
            <w:proofErr w:type="spellStart"/>
            <w:r w:rsidR="00B625A1" w:rsidRPr="00B625A1">
              <w:rPr>
                <w:szCs w:val="24"/>
              </w:rPr>
              <w:t>մինչև</w:t>
            </w:r>
            <w:proofErr w:type="spellEnd"/>
            <w:r w:rsidRPr="00741082">
              <w:rPr>
                <w:szCs w:val="24"/>
              </w:rPr>
              <w:t xml:space="preserve"> 2022</w:t>
            </w:r>
            <w:r w:rsidR="00B625A1" w:rsidRPr="00B625A1">
              <w:rPr>
                <w:szCs w:val="24"/>
              </w:rPr>
              <w:t xml:space="preserve"> </w:t>
            </w:r>
            <w:proofErr w:type="spellStart"/>
            <w:r w:rsidR="00B625A1" w:rsidRPr="00B625A1">
              <w:rPr>
                <w:szCs w:val="24"/>
              </w:rPr>
              <w:t>թվականի</w:t>
            </w:r>
            <w:proofErr w:type="spellEnd"/>
            <w:r w:rsidR="00B625A1" w:rsidRPr="00B625A1">
              <w:rPr>
                <w:szCs w:val="24"/>
              </w:rPr>
              <w:t xml:space="preserve"> </w:t>
            </w:r>
            <w:r w:rsidR="006069D0">
              <w:rPr>
                <w:szCs w:val="24"/>
              </w:rPr>
              <w:t xml:space="preserve"> </w:t>
            </w:r>
            <w:proofErr w:type="spellStart"/>
            <w:r w:rsidR="006069D0">
              <w:rPr>
                <w:szCs w:val="24"/>
              </w:rPr>
              <w:t>մարտի</w:t>
            </w:r>
            <w:proofErr w:type="spellEnd"/>
            <w:r w:rsidR="006069D0">
              <w:rPr>
                <w:szCs w:val="24"/>
              </w:rPr>
              <w:t xml:space="preserve"> </w:t>
            </w:r>
            <w:r w:rsidRPr="00741082">
              <w:rPr>
                <w:szCs w:val="24"/>
              </w:rPr>
              <w:t>31–ը:</w:t>
            </w:r>
          </w:p>
        </w:tc>
      </w:tr>
      <w:tr w:rsidR="00B625A1" w:rsidRPr="000A4CF3" w:rsidTr="00157062">
        <w:tc>
          <w:tcPr>
            <w:tcW w:w="2718" w:type="dxa"/>
            <w:hideMark/>
          </w:tcPr>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կատարման</w:t>
            </w:r>
            <w:proofErr w:type="spellEnd"/>
            <w:r w:rsidRPr="00B625A1">
              <w:rPr>
                <w:b/>
                <w:color w:val="0070C0"/>
                <w:szCs w:val="24"/>
              </w:rPr>
              <w:t xml:space="preserve"> </w:t>
            </w:r>
            <w:proofErr w:type="spellStart"/>
            <w:r w:rsidRPr="00B625A1">
              <w:rPr>
                <w:b/>
                <w:color w:val="0070C0"/>
                <w:szCs w:val="24"/>
              </w:rPr>
              <w:t>ժամկետը</w:t>
            </w:r>
            <w:proofErr w:type="spellEnd"/>
          </w:p>
          <w:p w:rsidR="00B625A1" w:rsidRPr="00B625A1" w:rsidRDefault="00B625A1" w:rsidP="00B625A1">
            <w:pPr>
              <w:spacing w:before="0" w:after="0" w:line="240" w:lineRule="auto"/>
              <w:ind w:firstLine="0"/>
              <w:jc w:val="left"/>
              <w:rPr>
                <w:b/>
                <w:color w:val="0070C0"/>
                <w:szCs w:val="24"/>
              </w:rPr>
            </w:pPr>
            <w:r w:rsidRPr="00B625A1">
              <w:rPr>
                <w:b/>
                <w:color w:val="0070C0"/>
                <w:szCs w:val="24"/>
                <w:lang w:val="ru-RU"/>
              </w:rPr>
              <w:t>Զննում</w:t>
            </w:r>
            <w:r w:rsidRPr="00B625A1">
              <w:rPr>
                <w:b/>
                <w:color w:val="0070C0"/>
                <w:szCs w:val="24"/>
              </w:rPr>
              <w:t xml:space="preserve"> </w:t>
            </w:r>
            <w:r w:rsidRPr="00B625A1">
              <w:rPr>
                <w:b/>
                <w:color w:val="0070C0"/>
                <w:szCs w:val="24"/>
                <w:lang w:val="ru-RU"/>
              </w:rPr>
              <w:t>և</w:t>
            </w:r>
            <w:r w:rsidRPr="00B625A1">
              <w:rPr>
                <w:b/>
                <w:color w:val="0070C0"/>
                <w:szCs w:val="24"/>
              </w:rPr>
              <w:t xml:space="preserve"> </w:t>
            </w:r>
            <w:r w:rsidRPr="00B625A1">
              <w:rPr>
                <w:b/>
                <w:color w:val="0070C0"/>
                <w:szCs w:val="24"/>
                <w:lang w:val="ru-RU"/>
              </w:rPr>
              <w:t>Դիտարկում</w:t>
            </w:r>
          </w:p>
        </w:tc>
        <w:tc>
          <w:tcPr>
            <w:tcW w:w="6714" w:type="dxa"/>
            <w:hideMark/>
          </w:tcPr>
          <w:p w:rsidR="008826EC" w:rsidRPr="008826EC" w:rsidRDefault="008826EC" w:rsidP="008826EC">
            <w:pPr>
              <w:tabs>
                <w:tab w:val="left" w:pos="851"/>
              </w:tabs>
              <w:spacing w:before="0" w:after="0"/>
              <w:ind w:firstLine="0"/>
              <w:rPr>
                <w:rFonts w:eastAsia="Times New Roman"/>
                <w:szCs w:val="24"/>
                <w:lang w:val="hy-AM"/>
              </w:rPr>
            </w:pPr>
            <w:r w:rsidRPr="008826EC">
              <w:rPr>
                <w:rFonts w:eastAsia="Times New Roman"/>
                <w:szCs w:val="24"/>
                <w:lang w:val="hy-AM"/>
              </w:rPr>
              <w:t>2022 թվականի մայիսի 2-ից մինչև 2022 թվականի  հուլիսի 29-ը:</w:t>
            </w:r>
          </w:p>
          <w:p w:rsidR="008826EC" w:rsidRPr="008826EC" w:rsidRDefault="008826EC" w:rsidP="008826EC">
            <w:pPr>
              <w:tabs>
                <w:tab w:val="left" w:pos="851"/>
              </w:tabs>
              <w:spacing w:before="0" w:after="0"/>
              <w:ind w:firstLine="0"/>
              <w:rPr>
                <w:rFonts w:eastAsia="Times New Roman"/>
                <w:szCs w:val="24"/>
                <w:lang w:val="hy-AM"/>
              </w:rPr>
            </w:pPr>
            <w:r w:rsidRPr="008826EC">
              <w:rPr>
                <w:rFonts w:eastAsia="Times New Roman"/>
                <w:szCs w:val="24"/>
                <w:lang w:val="hy-AM"/>
              </w:rPr>
              <w:t>2022 թվականի մայիսի 23-ից մինչև 2022 թվականի հունիսի 23-ը ներառյալ:</w:t>
            </w:r>
          </w:p>
          <w:p w:rsidR="00B625A1" w:rsidRPr="00B625A1" w:rsidRDefault="00B625A1" w:rsidP="00B625A1">
            <w:pPr>
              <w:tabs>
                <w:tab w:val="left" w:pos="851"/>
              </w:tabs>
              <w:spacing w:before="0" w:after="0" w:line="240" w:lineRule="auto"/>
              <w:ind w:firstLine="0"/>
              <w:rPr>
                <w:rFonts w:eastAsia="Times New Roman"/>
                <w:szCs w:val="24"/>
                <w:lang w:val="hy-AM"/>
              </w:rPr>
            </w:pPr>
          </w:p>
        </w:tc>
      </w:tr>
      <w:tr w:rsidR="00B625A1" w:rsidRPr="000A4CF3" w:rsidTr="00157062">
        <w:tc>
          <w:tcPr>
            <w:tcW w:w="2718" w:type="dxa"/>
          </w:tcPr>
          <w:p w:rsidR="00B625A1" w:rsidRPr="00B625A1" w:rsidRDefault="00B625A1" w:rsidP="00B625A1">
            <w:pPr>
              <w:spacing w:before="0" w:after="0" w:line="240" w:lineRule="auto"/>
              <w:ind w:firstLine="0"/>
              <w:jc w:val="left"/>
              <w:rPr>
                <w:b/>
                <w:color w:val="0070C0"/>
                <w:szCs w:val="24"/>
                <w:lang w:val="ru-RU"/>
              </w:rPr>
            </w:pPr>
            <w:proofErr w:type="spellStart"/>
            <w:r w:rsidRPr="00B625A1">
              <w:rPr>
                <w:b/>
                <w:color w:val="0070C0"/>
                <w:szCs w:val="24"/>
              </w:rPr>
              <w:t>Հաշվեքննության</w:t>
            </w:r>
            <w:proofErr w:type="spellEnd"/>
            <w:r w:rsidRPr="00B625A1">
              <w:rPr>
                <w:b/>
                <w:color w:val="0070C0"/>
                <w:szCs w:val="24"/>
              </w:rPr>
              <w:t xml:space="preserve"> </w:t>
            </w:r>
            <w:r w:rsidRPr="00B625A1">
              <w:rPr>
                <w:b/>
                <w:color w:val="0070C0"/>
                <w:szCs w:val="24"/>
                <w:lang w:val="hy-AM"/>
              </w:rPr>
              <w:t>մեթոդաբանությունը</w:t>
            </w:r>
          </w:p>
          <w:p w:rsidR="00B625A1" w:rsidRPr="00B625A1" w:rsidRDefault="00B625A1" w:rsidP="00B625A1">
            <w:pPr>
              <w:spacing w:before="0" w:after="0" w:line="240" w:lineRule="auto"/>
              <w:ind w:firstLine="0"/>
              <w:jc w:val="left"/>
              <w:rPr>
                <w:b/>
                <w:color w:val="0070C0"/>
                <w:szCs w:val="24"/>
              </w:rPr>
            </w:pPr>
          </w:p>
        </w:tc>
        <w:tc>
          <w:tcPr>
            <w:tcW w:w="6714" w:type="dxa"/>
            <w:hideMark/>
          </w:tcPr>
          <w:p w:rsidR="00B625A1" w:rsidRPr="00B625A1" w:rsidRDefault="00B625A1" w:rsidP="00B625A1">
            <w:pPr>
              <w:spacing w:before="0" w:after="0" w:line="240" w:lineRule="auto"/>
              <w:ind w:firstLine="0"/>
              <w:rPr>
                <w:color w:val="000000"/>
                <w:szCs w:val="24"/>
                <w:shd w:val="clear" w:color="auto" w:fill="FFFFFF"/>
                <w:lang w:val="hy-AM"/>
              </w:rPr>
            </w:pPr>
            <w:r w:rsidRPr="00B625A1">
              <w:rPr>
                <w:color w:val="000000"/>
                <w:szCs w:val="24"/>
                <w:shd w:val="clear" w:color="auto" w:fill="FFFFFF"/>
                <w:lang w:val="hy-AM"/>
              </w:rPr>
              <w:t>Հաշվեքննությունն իրականացվել է «Հաշվեքննիչ պալատի մա</w:t>
            </w:r>
            <w:r w:rsidRPr="00B625A1">
              <w:rPr>
                <w:color w:val="000000"/>
                <w:szCs w:val="24"/>
                <w:shd w:val="clear" w:color="auto" w:fill="FFFFFF"/>
                <w:lang w:val="hy-AM"/>
              </w:rPr>
              <w:softHyphen/>
              <w:t>սին» ՀՀ օրենքի, Հաշվեքննիչ պալատի ֆինանսական և համա</w:t>
            </w:r>
            <w:r w:rsidRPr="00B625A1">
              <w:rPr>
                <w:color w:val="000000"/>
                <w:szCs w:val="24"/>
                <w:shd w:val="clear" w:color="auto" w:fill="FFFFFF"/>
                <w:lang w:val="hy-AM"/>
              </w:rPr>
              <w:softHyphen/>
              <w:t>պա</w:t>
            </w:r>
            <w:r w:rsidRPr="00B625A1">
              <w:rPr>
                <w:color w:val="000000"/>
                <w:szCs w:val="24"/>
                <w:shd w:val="clear" w:color="auto" w:fill="FFFFFF"/>
                <w:lang w:val="hy-AM"/>
              </w:rPr>
              <w:softHyphen/>
              <w:t xml:space="preserve">տասխանության հաշվեքննության </w:t>
            </w:r>
            <w:r w:rsidRPr="00B625A1">
              <w:rPr>
                <w:color w:val="000000"/>
                <w:szCs w:val="24"/>
                <w:shd w:val="clear" w:color="auto" w:fill="FFFFFF"/>
                <w:lang w:val="hy-AM"/>
              </w:rPr>
              <w:lastRenderedPageBreak/>
              <w:t>մեթոդաբանությունների, Պետական բյուջեի երեք, վեց, ինն ամիսների և տարեկան կատարման հաշվեքննության ուղեցույցի համա</w:t>
            </w:r>
            <w:r w:rsidRPr="00B625A1">
              <w:rPr>
                <w:color w:val="000000"/>
                <w:szCs w:val="24"/>
                <w:shd w:val="clear" w:color="auto" w:fill="FFFFFF"/>
                <w:lang w:val="hy-AM"/>
              </w:rPr>
              <w:softHyphen/>
              <w:t xml:space="preserve">ձայն։ </w:t>
            </w:r>
          </w:p>
          <w:p w:rsidR="008826EC" w:rsidRPr="00741082" w:rsidRDefault="00B625A1" w:rsidP="008826EC">
            <w:pPr>
              <w:tabs>
                <w:tab w:val="left" w:pos="450"/>
              </w:tabs>
              <w:spacing w:after="0"/>
              <w:ind w:firstLine="0"/>
              <w:rPr>
                <w:rFonts w:eastAsia="Times New Roman"/>
                <w:szCs w:val="24"/>
                <w:lang w:val="hy-AM"/>
              </w:rPr>
            </w:pPr>
            <w:r w:rsidRPr="00B625A1">
              <w:rPr>
                <w:color w:val="000000"/>
                <w:szCs w:val="24"/>
                <w:shd w:val="clear" w:color="auto" w:fill="FFFFFF"/>
                <w:lang w:val="hy-AM"/>
              </w:rPr>
              <w:t>Իրականացվել է ֆինանսական և համապատասխանութ</w:t>
            </w:r>
            <w:r w:rsidRPr="00B625A1">
              <w:rPr>
                <w:color w:val="000000"/>
                <w:szCs w:val="24"/>
                <w:shd w:val="clear" w:color="auto" w:fill="FFFFFF"/>
                <w:lang w:val="hy-AM"/>
              </w:rPr>
              <w:softHyphen/>
              <w:t>յան հաշ</w:t>
            </w:r>
            <w:r w:rsidRPr="00B625A1">
              <w:rPr>
                <w:color w:val="000000"/>
                <w:szCs w:val="24"/>
                <w:shd w:val="clear" w:color="auto" w:fill="FFFFFF"/>
                <w:lang w:val="hy-AM"/>
              </w:rPr>
              <w:softHyphen/>
              <w:t>վեքննություն, որի ընթացքում կիրառվել են</w:t>
            </w:r>
            <w:r w:rsidR="008826EC" w:rsidRPr="00741082">
              <w:rPr>
                <w:color w:val="000000"/>
                <w:szCs w:val="24"/>
                <w:shd w:val="clear" w:color="auto" w:fill="FFFFFF"/>
                <w:lang w:val="hy-AM"/>
              </w:rPr>
              <w:t xml:space="preserve"> </w:t>
            </w:r>
            <w:r w:rsidR="008826EC" w:rsidRPr="00741082">
              <w:rPr>
                <w:rFonts w:eastAsia="Times New Roman"/>
                <w:szCs w:val="24"/>
                <w:lang w:val="hy-AM"/>
              </w:rPr>
              <w:t>զննում, դիտարկում, հարցում, վերլուծական ընթացակարգերը:</w:t>
            </w:r>
          </w:p>
          <w:p w:rsidR="00B625A1" w:rsidRPr="00B625A1" w:rsidRDefault="00B625A1" w:rsidP="00B625A1">
            <w:pPr>
              <w:spacing w:before="0" w:after="0" w:line="240" w:lineRule="auto"/>
              <w:ind w:firstLine="0"/>
              <w:rPr>
                <w:color w:val="000000"/>
                <w:szCs w:val="24"/>
                <w:shd w:val="clear" w:color="auto" w:fill="FFFFFF"/>
                <w:lang w:val="hy-AM"/>
              </w:rPr>
            </w:pPr>
          </w:p>
        </w:tc>
      </w:tr>
      <w:tr w:rsidR="00B625A1" w:rsidRPr="000A4CF3" w:rsidTr="00157062">
        <w:tc>
          <w:tcPr>
            <w:tcW w:w="2718" w:type="dxa"/>
          </w:tcPr>
          <w:p w:rsidR="00B625A1" w:rsidRPr="00B625A1" w:rsidRDefault="00B625A1" w:rsidP="00B625A1">
            <w:pPr>
              <w:spacing w:before="0" w:after="0" w:line="240" w:lineRule="auto"/>
              <w:ind w:firstLine="0"/>
              <w:jc w:val="left"/>
              <w:rPr>
                <w:b/>
                <w:color w:val="0070C0"/>
                <w:szCs w:val="24"/>
                <w:lang w:val="hy-AM"/>
              </w:rPr>
            </w:pPr>
          </w:p>
        </w:tc>
        <w:tc>
          <w:tcPr>
            <w:tcW w:w="6714" w:type="dxa"/>
          </w:tcPr>
          <w:p w:rsidR="00B625A1" w:rsidRPr="00B625A1" w:rsidRDefault="00B625A1" w:rsidP="00B625A1">
            <w:pPr>
              <w:spacing w:before="0" w:after="0" w:line="240" w:lineRule="auto"/>
              <w:ind w:firstLine="0"/>
              <w:rPr>
                <w:szCs w:val="24"/>
                <w:lang w:val="hy-AM"/>
              </w:rPr>
            </w:pPr>
          </w:p>
        </w:tc>
      </w:tr>
      <w:tr w:rsidR="00B625A1" w:rsidRPr="000A4CF3" w:rsidTr="00157062">
        <w:tc>
          <w:tcPr>
            <w:tcW w:w="2718" w:type="dxa"/>
          </w:tcPr>
          <w:p w:rsidR="00B625A1" w:rsidRPr="00B625A1" w:rsidRDefault="00B625A1" w:rsidP="00B625A1">
            <w:pPr>
              <w:spacing w:before="0" w:after="0" w:line="240" w:lineRule="auto"/>
              <w:ind w:firstLine="0"/>
              <w:jc w:val="left"/>
              <w:rPr>
                <w:b/>
                <w:color w:val="0070C0"/>
                <w:szCs w:val="24"/>
              </w:rPr>
            </w:pPr>
            <w:proofErr w:type="spellStart"/>
            <w:r w:rsidRPr="00B625A1">
              <w:rPr>
                <w:b/>
                <w:color w:val="0070C0"/>
                <w:szCs w:val="24"/>
              </w:rPr>
              <w:t>Հաշվեքննությունն</w:t>
            </w:r>
            <w:proofErr w:type="spellEnd"/>
            <w:r w:rsidRPr="00B625A1">
              <w:rPr>
                <w:b/>
                <w:color w:val="0070C0"/>
                <w:szCs w:val="24"/>
              </w:rPr>
              <w:t xml:space="preserve"> </w:t>
            </w:r>
            <w:proofErr w:type="spellStart"/>
            <w:r w:rsidRPr="00B625A1">
              <w:rPr>
                <w:b/>
                <w:color w:val="0070C0"/>
                <w:szCs w:val="24"/>
              </w:rPr>
              <w:t>իրականացրած</w:t>
            </w:r>
            <w:proofErr w:type="spellEnd"/>
            <w:r w:rsidRPr="00B625A1">
              <w:rPr>
                <w:b/>
                <w:color w:val="0070C0"/>
                <w:szCs w:val="24"/>
              </w:rPr>
              <w:t xml:space="preserve"> </w:t>
            </w:r>
            <w:proofErr w:type="spellStart"/>
            <w:r w:rsidRPr="00B625A1">
              <w:rPr>
                <w:b/>
                <w:color w:val="0070C0"/>
                <w:szCs w:val="24"/>
              </w:rPr>
              <w:t>կառուցվածքային</w:t>
            </w:r>
            <w:proofErr w:type="spellEnd"/>
            <w:r w:rsidRPr="00B625A1">
              <w:rPr>
                <w:b/>
                <w:color w:val="0070C0"/>
                <w:szCs w:val="24"/>
              </w:rPr>
              <w:t xml:space="preserve"> </w:t>
            </w:r>
            <w:proofErr w:type="spellStart"/>
            <w:r w:rsidRPr="00B625A1">
              <w:rPr>
                <w:b/>
                <w:color w:val="0070C0"/>
                <w:szCs w:val="24"/>
              </w:rPr>
              <w:t>ստորաբաժանում</w:t>
            </w:r>
            <w:proofErr w:type="spellEnd"/>
            <w:r w:rsidR="00242709" w:rsidRPr="00741082">
              <w:rPr>
                <w:rStyle w:val="FootnoteReference"/>
                <w:b/>
                <w:color w:val="0070C0"/>
                <w:szCs w:val="24"/>
              </w:rPr>
              <w:footnoteReference w:id="1"/>
            </w:r>
          </w:p>
          <w:p w:rsidR="00B625A1" w:rsidRPr="00B625A1" w:rsidRDefault="00B625A1" w:rsidP="00B625A1">
            <w:pPr>
              <w:spacing w:before="0" w:after="0" w:line="240" w:lineRule="auto"/>
              <w:ind w:firstLine="0"/>
              <w:jc w:val="left"/>
              <w:rPr>
                <w:b/>
                <w:color w:val="0070C0"/>
                <w:szCs w:val="24"/>
                <w:lang w:val="hy-AM"/>
              </w:rPr>
            </w:pPr>
          </w:p>
        </w:tc>
        <w:tc>
          <w:tcPr>
            <w:tcW w:w="6714" w:type="dxa"/>
            <w:hideMark/>
          </w:tcPr>
          <w:p w:rsidR="00B625A1" w:rsidRPr="00B625A1" w:rsidRDefault="00B625A1" w:rsidP="00B625A1">
            <w:pPr>
              <w:spacing w:before="0" w:after="0" w:line="240" w:lineRule="auto"/>
              <w:ind w:firstLine="0"/>
              <w:rPr>
                <w:color w:val="000000"/>
                <w:szCs w:val="24"/>
                <w:shd w:val="clear" w:color="auto" w:fill="FFFFFF"/>
                <w:lang w:val="hy-AM"/>
              </w:rPr>
            </w:pPr>
            <w:r w:rsidRPr="00B625A1">
              <w:rPr>
                <w:szCs w:val="24"/>
                <w:lang w:val="hy-AM"/>
              </w:rPr>
              <w:t>Հաշվեքննությունն իրականացվել է ՀՀ հաշվեքննիչ պալատի երրորդ վարչության կողմից, որի աշխատանքները համակար</w:t>
            </w:r>
            <w:r w:rsidRPr="00B625A1">
              <w:rPr>
                <w:szCs w:val="24"/>
                <w:lang w:val="hy-AM"/>
              </w:rPr>
              <w:softHyphen/>
              <w:t xml:space="preserve">գում է ՀՀ հաշվեքննիչ պալատի անդամ Գեղամ Հովեյանը: </w:t>
            </w:r>
          </w:p>
        </w:tc>
      </w:tr>
    </w:tbl>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Default="00B625A1">
      <w:pPr>
        <w:rPr>
          <w:lang w:val="hy-AM"/>
        </w:rPr>
      </w:pPr>
    </w:p>
    <w:p w:rsidR="008826EC" w:rsidRDefault="008826EC">
      <w:pPr>
        <w:rPr>
          <w:lang w:val="hy-AM"/>
        </w:rPr>
      </w:pPr>
    </w:p>
    <w:p w:rsidR="008826EC" w:rsidRDefault="008826EC">
      <w:pPr>
        <w:rPr>
          <w:lang w:val="hy-AM"/>
        </w:rPr>
      </w:pPr>
    </w:p>
    <w:p w:rsidR="008826EC" w:rsidRDefault="008826EC">
      <w:pPr>
        <w:rPr>
          <w:lang w:val="hy-AM"/>
        </w:rPr>
      </w:pPr>
    </w:p>
    <w:p w:rsidR="008826EC" w:rsidRDefault="008826EC">
      <w:pPr>
        <w:rPr>
          <w:lang w:val="hy-AM"/>
        </w:rPr>
      </w:pPr>
    </w:p>
    <w:p w:rsidR="008826EC" w:rsidRDefault="008826EC">
      <w:pPr>
        <w:rPr>
          <w:lang w:val="hy-AM"/>
        </w:rPr>
      </w:pPr>
    </w:p>
    <w:p w:rsidR="00F63EB5" w:rsidRDefault="00F63EB5">
      <w:pPr>
        <w:rPr>
          <w:lang w:val="hy-AM"/>
        </w:rPr>
      </w:pPr>
    </w:p>
    <w:p w:rsidR="00557C56" w:rsidRPr="00CB0672" w:rsidRDefault="00557C56" w:rsidP="00557C56">
      <w:pPr>
        <w:numPr>
          <w:ilvl w:val="0"/>
          <w:numId w:val="2"/>
        </w:numPr>
        <w:spacing w:before="0" w:line="240" w:lineRule="auto"/>
        <w:ind w:firstLine="0"/>
        <w:jc w:val="center"/>
        <w:outlineLvl w:val="0"/>
        <w:rPr>
          <w:color w:val="0070C0"/>
          <w:sz w:val="32"/>
          <w:szCs w:val="28"/>
          <w:lang w:val="hy-AM" w:eastAsia="x-none"/>
        </w:rPr>
      </w:pPr>
      <w:bookmarkStart w:id="1" w:name="_Toc94005821"/>
      <w:bookmarkStart w:id="2" w:name="_Toc77941089"/>
      <w:bookmarkStart w:id="3" w:name="_Toc46780407"/>
      <w:bookmarkStart w:id="4" w:name="_Toc103093947"/>
      <w:bookmarkStart w:id="5" w:name="_Toc109642755"/>
      <w:r w:rsidRPr="00CB0672">
        <w:rPr>
          <w:b/>
          <w:color w:val="0070C0"/>
          <w:sz w:val="32"/>
          <w:szCs w:val="28"/>
          <w:lang w:val="ru-RU" w:eastAsia="x-none"/>
        </w:rPr>
        <w:lastRenderedPageBreak/>
        <w:t>ԱՄՓՈՓԱԳԻՐ</w:t>
      </w:r>
      <w:bookmarkEnd w:id="1"/>
      <w:bookmarkEnd w:id="2"/>
      <w:bookmarkEnd w:id="3"/>
      <w:r w:rsidRPr="00CB0672">
        <w:rPr>
          <w:b/>
          <w:color w:val="0070C0"/>
          <w:sz w:val="32"/>
          <w:szCs w:val="28"/>
          <w:vertAlign w:val="superscript"/>
          <w:lang w:val="ru-RU" w:eastAsia="x-none"/>
        </w:rPr>
        <w:footnoteReference w:id="2"/>
      </w:r>
      <w:bookmarkEnd w:id="4"/>
      <w:bookmarkEnd w:id="5"/>
    </w:p>
    <w:p w:rsidR="00557C56" w:rsidRPr="00557C56" w:rsidRDefault="00557C56" w:rsidP="00557C56">
      <w:pPr>
        <w:rPr>
          <w:highlight w:val="yellow"/>
          <w:lang w:val="hy-AM"/>
        </w:rPr>
      </w:pPr>
    </w:p>
    <w:p w:rsidR="00557C56" w:rsidRPr="008734AE" w:rsidRDefault="00557C56" w:rsidP="008734AE">
      <w:pPr>
        <w:ind w:firstLine="720"/>
        <w:rPr>
          <w:rFonts w:eastAsia="Times New Roman"/>
          <w:color w:val="000000"/>
          <w:szCs w:val="24"/>
          <w:lang w:val="hy-AM"/>
        </w:rPr>
      </w:pPr>
      <w:r w:rsidRPr="008734AE">
        <w:rPr>
          <w:rFonts w:eastAsia="Times New Roman"/>
          <w:color w:val="000000"/>
          <w:szCs w:val="24"/>
          <w:lang w:val="hy-AM"/>
        </w:rPr>
        <w:t xml:space="preserve">Հայաստանի Հանրապետության հաշվեքննիչ պալատի կողմից իրականացվել է ՀՀ </w:t>
      </w:r>
      <w:r w:rsidR="008C0476" w:rsidRPr="008734AE">
        <w:rPr>
          <w:rFonts w:eastAsia="Times New Roman"/>
          <w:color w:val="000000"/>
          <w:szCs w:val="24"/>
          <w:lang w:val="hy-AM"/>
        </w:rPr>
        <w:t xml:space="preserve">պետական եկամուտների կոմիտեի </w:t>
      </w:r>
      <w:r w:rsidRPr="008734AE">
        <w:rPr>
          <w:rFonts w:eastAsia="Times New Roman"/>
          <w:color w:val="000000"/>
          <w:szCs w:val="24"/>
          <w:lang w:val="hy-AM"/>
        </w:rPr>
        <w:t xml:space="preserve">/ այսուհետ՝ </w:t>
      </w:r>
      <w:r w:rsidR="008C0476" w:rsidRPr="008734AE">
        <w:rPr>
          <w:rFonts w:eastAsia="Times New Roman"/>
          <w:color w:val="000000"/>
          <w:szCs w:val="24"/>
          <w:lang w:val="hy-AM"/>
        </w:rPr>
        <w:t xml:space="preserve">Կոմիտե </w:t>
      </w:r>
      <w:r w:rsidRPr="008734AE">
        <w:rPr>
          <w:rFonts w:eastAsia="Times New Roman"/>
          <w:color w:val="000000"/>
          <w:szCs w:val="24"/>
          <w:lang w:val="hy-AM"/>
        </w:rPr>
        <w:t xml:space="preserve">/ </w:t>
      </w:r>
      <w:r w:rsidR="008C0476" w:rsidRPr="008734AE">
        <w:rPr>
          <w:rFonts w:eastAsia="Times New Roman"/>
          <w:color w:val="000000"/>
          <w:szCs w:val="24"/>
          <w:lang w:val="hy-AM"/>
        </w:rPr>
        <w:t>2022</w:t>
      </w:r>
      <w:r w:rsidRPr="008734AE">
        <w:rPr>
          <w:rFonts w:eastAsia="Times New Roman"/>
          <w:color w:val="000000"/>
          <w:szCs w:val="24"/>
          <w:lang w:val="hy-AM"/>
        </w:rPr>
        <w:t xml:space="preserve"> թվականի պետական բյուջեի </w:t>
      </w:r>
      <w:r w:rsidR="008C0476" w:rsidRPr="008734AE">
        <w:rPr>
          <w:rFonts w:eastAsia="Times New Roman"/>
          <w:color w:val="000000"/>
          <w:szCs w:val="24"/>
          <w:lang w:val="hy-AM"/>
        </w:rPr>
        <w:t>երեք ամիսների</w:t>
      </w:r>
      <w:r w:rsidRPr="008734AE">
        <w:rPr>
          <w:rFonts w:eastAsia="Times New Roman"/>
          <w:color w:val="000000"/>
          <w:szCs w:val="24"/>
          <w:lang w:val="hy-AM"/>
        </w:rPr>
        <w:t xml:space="preserve"> կատարման հաշվեքննություն:</w:t>
      </w:r>
    </w:p>
    <w:p w:rsidR="00557C56" w:rsidRPr="008734AE" w:rsidRDefault="008C0476" w:rsidP="008734AE">
      <w:pPr>
        <w:ind w:firstLine="720"/>
        <w:rPr>
          <w:rFonts w:eastAsia="Times New Roman"/>
          <w:color w:val="000000"/>
          <w:szCs w:val="24"/>
          <w:lang w:val="hy-AM"/>
        </w:rPr>
      </w:pPr>
      <w:r w:rsidRPr="008734AE">
        <w:rPr>
          <w:rFonts w:eastAsia="Times New Roman"/>
          <w:color w:val="000000"/>
          <w:szCs w:val="24"/>
          <w:lang w:val="hy-AM"/>
        </w:rPr>
        <w:t>Կոմիտեի 2022</w:t>
      </w:r>
      <w:r w:rsidR="00557C56" w:rsidRPr="008734AE">
        <w:rPr>
          <w:rFonts w:eastAsia="Times New Roman"/>
          <w:color w:val="000000"/>
          <w:szCs w:val="24"/>
          <w:lang w:val="hy-AM"/>
        </w:rPr>
        <w:t xml:space="preserve"> թվականի բյուջեի </w:t>
      </w:r>
      <w:r w:rsidRPr="008734AE">
        <w:rPr>
          <w:rFonts w:eastAsia="Times New Roman"/>
          <w:color w:val="000000"/>
          <w:szCs w:val="24"/>
          <w:lang w:val="hy-AM"/>
        </w:rPr>
        <w:t>հաշվետու ժամանակահատվածի</w:t>
      </w:r>
      <w:r w:rsidR="00302EBD" w:rsidRPr="008734AE">
        <w:rPr>
          <w:rFonts w:eastAsia="Times New Roman"/>
          <w:color w:val="000000"/>
          <w:szCs w:val="24"/>
          <w:lang w:val="hy-AM"/>
        </w:rPr>
        <w:t xml:space="preserve"> </w:t>
      </w:r>
      <w:r w:rsidRPr="008734AE">
        <w:rPr>
          <w:rFonts w:eastAsia="Times New Roman"/>
          <w:color w:val="000000"/>
          <w:szCs w:val="24"/>
          <w:lang w:val="hy-AM"/>
        </w:rPr>
        <w:t xml:space="preserve"> </w:t>
      </w:r>
      <w:r w:rsidR="00557C56" w:rsidRPr="008734AE">
        <w:rPr>
          <w:rFonts w:eastAsia="Times New Roman"/>
          <w:color w:val="000000"/>
          <w:szCs w:val="24"/>
          <w:lang w:val="hy-AM"/>
        </w:rPr>
        <w:t xml:space="preserve">ճշտված </w:t>
      </w:r>
      <w:r w:rsidRPr="008734AE">
        <w:rPr>
          <w:rFonts w:eastAsia="Times New Roman"/>
          <w:color w:val="000000"/>
          <w:szCs w:val="24"/>
          <w:lang w:val="hy-AM"/>
        </w:rPr>
        <w:t xml:space="preserve">պլանը կազմել է 51,553,174.46 </w:t>
      </w:r>
      <w:r w:rsidR="00557C56" w:rsidRPr="008734AE">
        <w:rPr>
          <w:rFonts w:eastAsia="Times New Roman"/>
          <w:color w:val="000000"/>
          <w:szCs w:val="24"/>
          <w:lang w:val="hy-AM"/>
        </w:rPr>
        <w:t xml:space="preserve">հազ.դրամ, դրամարկղային ծախսը՝ </w:t>
      </w:r>
      <w:r w:rsidRPr="008734AE">
        <w:rPr>
          <w:rFonts w:eastAsia="Times New Roman"/>
          <w:color w:val="000000"/>
          <w:szCs w:val="24"/>
          <w:lang w:val="hy-AM"/>
        </w:rPr>
        <w:t xml:space="preserve">41,628,573.94 </w:t>
      </w:r>
      <w:r w:rsidR="00557C56" w:rsidRPr="008734AE">
        <w:rPr>
          <w:rFonts w:eastAsia="Times New Roman"/>
          <w:color w:val="000000"/>
          <w:szCs w:val="24"/>
          <w:lang w:val="hy-AM"/>
        </w:rPr>
        <w:t xml:space="preserve">հազ.դրամ, փաստացի ծախսը՝ </w:t>
      </w:r>
      <w:r w:rsidRPr="008734AE">
        <w:rPr>
          <w:rFonts w:eastAsia="Times New Roman"/>
          <w:color w:val="000000"/>
          <w:szCs w:val="24"/>
          <w:lang w:val="hy-AM"/>
        </w:rPr>
        <w:t xml:space="preserve"> 43,521,106.58 </w:t>
      </w:r>
      <w:r w:rsidR="00557C56" w:rsidRPr="008734AE">
        <w:rPr>
          <w:rFonts w:eastAsia="Times New Roman"/>
          <w:color w:val="000000"/>
          <w:szCs w:val="24"/>
          <w:lang w:val="hy-AM"/>
        </w:rPr>
        <w:t xml:space="preserve">հազ.դրամ: </w:t>
      </w:r>
    </w:p>
    <w:p w:rsidR="00302EBD" w:rsidRDefault="00302EBD" w:rsidP="00302EBD">
      <w:pPr>
        <w:rPr>
          <w:b/>
          <w:i/>
          <w:lang w:val="hy-AM"/>
        </w:rPr>
      </w:pPr>
      <w:r w:rsidRPr="00992CC7">
        <w:rPr>
          <w:b/>
          <w:i/>
          <w:lang w:val="hy-AM"/>
        </w:rPr>
        <w:t>Ստորև հաշվեքննությամբ արձանագրված հիմնական փաստերն են</w:t>
      </w:r>
      <w:r>
        <w:rPr>
          <w:b/>
          <w:i/>
          <w:lang w:val="hy-AM"/>
        </w:rPr>
        <w:t>.</w:t>
      </w:r>
    </w:p>
    <w:p w:rsidR="006069D0" w:rsidRPr="00741082" w:rsidRDefault="00302EBD" w:rsidP="006069D0">
      <w:pPr>
        <w:ind w:firstLine="720"/>
        <w:rPr>
          <w:rFonts w:eastAsia="Times New Roman"/>
          <w:color w:val="000000"/>
          <w:szCs w:val="24"/>
          <w:lang w:val="hy-AM"/>
        </w:rPr>
      </w:pPr>
      <w:r>
        <w:rPr>
          <w:rFonts w:eastAsia="Times New Roman" w:cstheme="majorBidi"/>
          <w:b/>
          <w:szCs w:val="24"/>
          <w:lang w:val="hy-AM"/>
        </w:rPr>
        <w:t>1205-</w:t>
      </w:r>
      <w:r w:rsidRPr="00302EBD">
        <w:rPr>
          <w:rFonts w:eastAsia="Times New Roman" w:cstheme="majorBidi"/>
          <w:b/>
          <w:szCs w:val="24"/>
          <w:lang w:val="hy-AM"/>
        </w:rPr>
        <w:t>12009՝ Հայաստանի Հանրապետության պաշտպանության ժամանակ զինծառայողների կյանքին կամ առողջությանը պատճառվա</w:t>
      </w:r>
      <w:r>
        <w:rPr>
          <w:rFonts w:eastAsia="Times New Roman" w:cstheme="majorBidi"/>
          <w:b/>
          <w:szCs w:val="24"/>
          <w:lang w:val="hy-AM"/>
        </w:rPr>
        <w:t>ծ վնասների հատուցման միջոցառման</w:t>
      </w:r>
      <w:r w:rsidRPr="00302EBD">
        <w:rPr>
          <w:rFonts w:eastAsia="Times New Roman" w:cstheme="majorBidi"/>
          <w:b/>
          <w:szCs w:val="24"/>
          <w:lang w:val="hy-AM"/>
        </w:rPr>
        <w:t xml:space="preserve"> մասով </w:t>
      </w:r>
      <w:r>
        <w:rPr>
          <w:rFonts w:eastAsia="Times New Roman"/>
          <w:color w:val="000000"/>
          <w:szCs w:val="24"/>
          <w:lang w:val="hy-AM"/>
        </w:rPr>
        <w:t>ա</w:t>
      </w:r>
      <w:r w:rsidRPr="00302EBD">
        <w:rPr>
          <w:rFonts w:eastAsia="Times New Roman"/>
          <w:color w:val="000000"/>
          <w:szCs w:val="24"/>
          <w:lang w:val="hy-AM"/>
        </w:rPr>
        <w:t xml:space="preserve">ռկա է տարբերություն ՀՀ պետական բյուջեի 2022 թվականի առաջին եռամսյակի կատարման հաշվետվության և </w:t>
      </w:r>
      <w:r w:rsidR="006069D0" w:rsidRPr="00741082">
        <w:rPr>
          <w:rFonts w:eastAsia="Times New Roman"/>
          <w:color w:val="000000"/>
          <w:szCs w:val="24"/>
          <w:lang w:val="hy-AM"/>
        </w:rPr>
        <w:t>«Զինծառայող</w:t>
      </w:r>
      <w:r w:rsidR="006069D0">
        <w:rPr>
          <w:rFonts w:eastAsia="Times New Roman"/>
          <w:color w:val="000000"/>
          <w:szCs w:val="24"/>
          <w:lang w:val="hy-AM"/>
        </w:rPr>
        <w:t xml:space="preserve">ների ապահովագրության հիմնադրամի» </w:t>
      </w:r>
      <w:r w:rsidRPr="00302EBD">
        <w:rPr>
          <w:rFonts w:eastAsia="Times New Roman"/>
          <w:color w:val="000000"/>
          <w:szCs w:val="24"/>
          <w:lang w:val="hy-AM"/>
        </w:rPr>
        <w:t xml:space="preserve">կողմից նույն ժամանակահատվածի համար ներկայացված հաշվետվությունների միջև: </w:t>
      </w:r>
      <w:r w:rsidR="006069D0" w:rsidRPr="00741082">
        <w:rPr>
          <w:rFonts w:eastAsia="Times New Roman"/>
          <w:color w:val="000000"/>
          <w:szCs w:val="24"/>
          <w:lang w:val="hy-AM"/>
        </w:rPr>
        <w:t>ՀՀ հաշվառված և ձեռնարկատիրական գործունեություն իրականացնող անհատ ձեռնարկատերերի մասով՝  01.01.2022 թ. դրությամբ ապառքը կազմել է 1,130,943.02 հազ.դրամ, իսկ 01.04.2022 թվականի դրությամբ՝ 2,257.073.61 հազ.դրամ</w:t>
      </w:r>
      <w:r w:rsidR="006069D0" w:rsidRPr="006069D0">
        <w:rPr>
          <w:rFonts w:eastAsia="Times New Roman"/>
          <w:color w:val="000000"/>
          <w:szCs w:val="24"/>
          <w:lang w:val="hy-AM"/>
        </w:rPr>
        <w:t xml:space="preserve">: </w:t>
      </w:r>
      <w:r w:rsidR="006069D0" w:rsidRPr="00741082">
        <w:rPr>
          <w:rFonts w:eastAsia="Times New Roman"/>
          <w:color w:val="000000"/>
          <w:szCs w:val="24"/>
          <w:lang w:val="hy-AM"/>
        </w:rPr>
        <w:t>Նոտարների մասով՝  01.01.2022 թ. դրությամբ ապառքը կազմել է 418.80 հազ.դրամ, իսկ 01.04.2022 թվականի դրությամբ՝ 1,686.70 հազ.դրամ</w:t>
      </w:r>
      <w:r w:rsidR="006069D0" w:rsidRPr="006069D0">
        <w:rPr>
          <w:rFonts w:eastAsia="Times New Roman"/>
          <w:color w:val="000000"/>
          <w:szCs w:val="24"/>
          <w:lang w:val="hy-AM"/>
        </w:rPr>
        <w:t xml:space="preserve">: </w:t>
      </w:r>
    </w:p>
    <w:p w:rsidR="006069D0" w:rsidRPr="006069D0" w:rsidRDefault="00302EBD" w:rsidP="006069D0">
      <w:pPr>
        <w:ind w:firstLine="720"/>
        <w:rPr>
          <w:rFonts w:eastAsia="Times New Roman" w:cstheme="majorBidi"/>
          <w:b/>
          <w:szCs w:val="24"/>
          <w:lang w:val="hy-AM"/>
        </w:rPr>
      </w:pPr>
      <w:r>
        <w:rPr>
          <w:rFonts w:eastAsia="Times New Roman" w:cstheme="majorBidi"/>
          <w:b/>
          <w:szCs w:val="24"/>
          <w:lang w:val="hy-AM"/>
        </w:rPr>
        <w:t>1102-</w:t>
      </w:r>
      <w:r w:rsidRPr="00302EBD">
        <w:rPr>
          <w:rFonts w:eastAsia="Times New Roman" w:cstheme="majorBidi"/>
          <w:b/>
          <w:szCs w:val="24"/>
          <w:lang w:val="hy-AM"/>
        </w:rPr>
        <w:t>12005՝ Կուտակային հատկացումներ մասնակցի կենսաթոշակա</w:t>
      </w:r>
      <w:r w:rsidR="000D1652">
        <w:rPr>
          <w:rFonts w:eastAsia="Times New Roman" w:cstheme="majorBidi"/>
          <w:b/>
          <w:szCs w:val="24"/>
          <w:lang w:val="hy-AM"/>
        </w:rPr>
        <w:t xml:space="preserve">յին հաշվին միջոցառման </w:t>
      </w:r>
      <w:r w:rsidR="006069D0" w:rsidRPr="006069D0">
        <w:rPr>
          <w:rFonts w:eastAsia="Times New Roman" w:cstheme="majorBidi"/>
          <w:b/>
          <w:szCs w:val="24"/>
          <w:lang w:val="hy-AM"/>
        </w:rPr>
        <w:t xml:space="preserve">մասով </w:t>
      </w:r>
      <w:r w:rsidR="006069D0" w:rsidRPr="00741082">
        <w:rPr>
          <w:rFonts w:eastAsiaTheme="minorHAnsi" w:cstheme="minorBidi"/>
          <w:szCs w:val="24"/>
          <w:lang w:val="hy-AM"/>
        </w:rPr>
        <w:t xml:space="preserve">01.01.2022թ. դրությամբ սոցիալական վճարների </w:t>
      </w:r>
      <w:r w:rsidR="006069D0" w:rsidRPr="006069D0">
        <w:rPr>
          <w:rFonts w:eastAsiaTheme="minorHAnsi" w:cstheme="minorBidi"/>
          <w:szCs w:val="24"/>
          <w:lang w:val="hy-AM"/>
        </w:rPr>
        <w:t>գծով</w:t>
      </w:r>
      <w:r w:rsidR="0037608C" w:rsidRPr="0037608C">
        <w:rPr>
          <w:rFonts w:eastAsiaTheme="minorHAnsi" w:cstheme="minorBidi"/>
          <w:szCs w:val="24"/>
          <w:lang w:val="hy-AM"/>
        </w:rPr>
        <w:t>՝</w:t>
      </w:r>
      <w:r w:rsidR="006069D0" w:rsidRPr="00741082">
        <w:rPr>
          <w:rFonts w:eastAsiaTheme="minorHAnsi" w:cstheme="minorBidi"/>
          <w:szCs w:val="24"/>
          <w:lang w:val="hy-AM"/>
        </w:rPr>
        <w:t xml:space="preserve"> ապառքը կազմել է 503,743,04 հազ. դրամ, իսկ 01.04.2022թ. դրությամբ 647,554.52 </w:t>
      </w:r>
      <w:r w:rsidR="006069D0" w:rsidRPr="00741082">
        <w:rPr>
          <w:rFonts w:eastAsiaTheme="minorHAnsi" w:cstheme="minorBidi"/>
          <w:szCs w:val="24"/>
          <w:lang w:val="hy-AM"/>
        </w:rPr>
        <w:lastRenderedPageBreak/>
        <w:t xml:space="preserve">հազ. դրամ: Նշված ապառքների նկատմամբ հաշվարկված տույժերը համապատասխանաբար կազմել են 84,418.73 հազ. դրամ և 88,827.54 հազ. դրամ: </w:t>
      </w:r>
    </w:p>
    <w:p w:rsidR="006069D0" w:rsidRPr="00302EBD" w:rsidRDefault="006069D0" w:rsidP="00302EBD">
      <w:pPr>
        <w:ind w:firstLine="720"/>
        <w:rPr>
          <w:rFonts w:eastAsia="Times New Roman" w:cstheme="majorBidi"/>
          <w:b/>
          <w:szCs w:val="24"/>
          <w:lang w:val="hy-AM"/>
        </w:rPr>
      </w:pPr>
    </w:p>
    <w:p w:rsidR="000D1652" w:rsidRPr="000D1652" w:rsidRDefault="000D1652" w:rsidP="000D1652">
      <w:pPr>
        <w:ind w:firstLine="720"/>
        <w:rPr>
          <w:rFonts w:eastAsia="Times New Roman" w:cstheme="majorBidi"/>
          <w:b/>
          <w:szCs w:val="24"/>
          <w:lang w:val="hy-AM"/>
        </w:rPr>
      </w:pPr>
    </w:p>
    <w:p w:rsidR="00557C56" w:rsidRPr="00F63EB5" w:rsidRDefault="00557C56" w:rsidP="00557C56">
      <w:pPr>
        <w:spacing w:before="0" w:after="0" w:line="240" w:lineRule="auto"/>
        <w:ind w:firstLine="709"/>
        <w:rPr>
          <w:rFonts w:eastAsia="MS Mincho" w:cs="Arial"/>
          <w:lang w:val="hy-AM"/>
        </w:rPr>
      </w:pPr>
      <w:r w:rsidRPr="00F63EB5">
        <w:rPr>
          <w:rFonts w:eastAsia="MS Mincho" w:cs="Arial"/>
          <w:lang w:val="hy-AM"/>
        </w:rPr>
        <w:t>Գեղամ Հովեյան</w:t>
      </w:r>
    </w:p>
    <w:p w:rsidR="00557C56" w:rsidRPr="00F63EB5" w:rsidRDefault="00557C56" w:rsidP="00557C56">
      <w:pPr>
        <w:tabs>
          <w:tab w:val="right" w:pos="9298"/>
        </w:tabs>
        <w:spacing w:before="0" w:after="0" w:line="240" w:lineRule="auto"/>
        <w:ind w:firstLine="709"/>
        <w:rPr>
          <w:rFonts w:cs="Sylfaen"/>
          <w:lang w:val="hy-AM"/>
        </w:rPr>
      </w:pPr>
      <w:r w:rsidRPr="00F63EB5">
        <w:rPr>
          <w:rFonts w:cs="Sylfaen"/>
          <w:lang w:val="hy-AM"/>
        </w:rPr>
        <w:t>ՀՀ հաշվեքննիչ պալատի անդամ</w:t>
      </w:r>
      <w:r w:rsidRPr="00F63EB5">
        <w:rPr>
          <w:rFonts w:cs="Sylfaen"/>
          <w:lang w:val="hy-AM"/>
        </w:rPr>
        <w:tab/>
      </w:r>
    </w:p>
    <w:p w:rsidR="00557C56" w:rsidRPr="00F63EB5" w:rsidRDefault="009E30B6" w:rsidP="00557C56">
      <w:pPr>
        <w:spacing w:before="0" w:after="0" w:line="240" w:lineRule="auto"/>
        <w:ind w:firstLine="709"/>
        <w:rPr>
          <w:rFonts w:cs="Sylfaen"/>
          <w:color w:val="FF0000"/>
          <w:lang w:val="hy-AM" w:eastAsia="ru-RU"/>
        </w:rPr>
      </w:pPr>
      <w:r>
        <w:rPr>
          <w:rFonts w:cs="Sylfaen"/>
          <w:lang w:val="hy-AM"/>
        </w:rPr>
        <w:t>2</w:t>
      </w:r>
      <w:r w:rsidRPr="000A4CF3">
        <w:rPr>
          <w:rFonts w:cs="Sylfaen"/>
          <w:lang w:val="hy-AM"/>
        </w:rPr>
        <w:t>7</w:t>
      </w:r>
      <w:r w:rsidR="00F63EB5" w:rsidRPr="00F63EB5">
        <w:rPr>
          <w:rFonts w:cs="Sylfaen"/>
          <w:lang w:val="hy-AM"/>
        </w:rPr>
        <w:t xml:space="preserve"> </w:t>
      </w:r>
      <w:r w:rsidR="008C78C0">
        <w:rPr>
          <w:rFonts w:cs="Sylfaen"/>
        </w:rPr>
        <w:t>հ</w:t>
      </w:r>
      <w:bookmarkStart w:id="6" w:name="_GoBack"/>
      <w:bookmarkEnd w:id="6"/>
      <w:r w:rsidR="00CD2731" w:rsidRPr="00F63EB5">
        <w:rPr>
          <w:rFonts w:cs="Sylfaen"/>
          <w:lang w:val="hy-AM"/>
        </w:rPr>
        <w:t>ուլիսի</w:t>
      </w:r>
      <w:r w:rsidR="00557C56" w:rsidRPr="00F63EB5">
        <w:rPr>
          <w:rFonts w:cs="Sylfaen"/>
          <w:lang w:val="hy-AM"/>
        </w:rPr>
        <w:t xml:space="preserve"> 2022 թվական</w:t>
      </w:r>
    </w:p>
    <w:p w:rsidR="00557C56" w:rsidRPr="00F63EB5" w:rsidRDefault="00557C56" w:rsidP="00557C56">
      <w:pPr>
        <w:spacing w:before="0" w:after="0" w:line="240" w:lineRule="auto"/>
        <w:ind w:firstLine="709"/>
        <w:rPr>
          <w:rFonts w:cs="Sylfaen"/>
          <w:lang w:val="hy-AM"/>
        </w:rPr>
      </w:pPr>
      <w:r w:rsidRPr="00F63EB5">
        <w:rPr>
          <w:rFonts w:cs="Sylfaen"/>
          <w:lang w:val="hy-AM"/>
        </w:rPr>
        <w:t>ՀՀ հաշվեքննիչ պալատ, Բաղրամյան փող. 19, ք.</w:t>
      </w:r>
      <w:r w:rsidRPr="00F63EB5">
        <w:rPr>
          <w:rFonts w:eastAsia="MS Mincho" w:cs="MS Mincho"/>
          <w:lang w:val="hy-AM"/>
        </w:rPr>
        <w:t xml:space="preserve"> </w:t>
      </w:r>
      <w:r w:rsidRPr="00F63EB5">
        <w:rPr>
          <w:rFonts w:cs="Sylfaen"/>
          <w:lang w:val="hy-AM"/>
        </w:rPr>
        <w:t xml:space="preserve">Երևան, </w:t>
      </w:r>
    </w:p>
    <w:p w:rsidR="00557C56" w:rsidRDefault="00557C56" w:rsidP="00557C56">
      <w:pPr>
        <w:spacing w:before="0" w:after="0" w:line="240" w:lineRule="auto"/>
        <w:ind w:firstLine="709"/>
        <w:rPr>
          <w:rFonts w:cs="Sylfaen"/>
          <w:lang w:val="hy-AM"/>
        </w:rPr>
      </w:pPr>
      <w:r w:rsidRPr="00F63EB5">
        <w:rPr>
          <w:rFonts w:cs="Sylfaen"/>
          <w:lang w:val="hy-AM"/>
        </w:rPr>
        <w:t>Հայաստանի Հանրապետություն</w:t>
      </w:r>
    </w:p>
    <w:p w:rsidR="00557C56" w:rsidRDefault="00557C56" w:rsidP="00557C56">
      <w:pPr>
        <w:spacing w:before="0" w:after="0" w:line="240" w:lineRule="auto"/>
        <w:ind w:firstLine="709"/>
        <w:rPr>
          <w:rFonts w:cs="Sylfaen"/>
          <w:lang w:val="hy-AM"/>
        </w:rPr>
      </w:pPr>
    </w:p>
    <w:p w:rsidR="00557C56" w:rsidRPr="00CD2731" w:rsidRDefault="00557C56" w:rsidP="00557C56">
      <w:pPr>
        <w:spacing w:before="0" w:after="0" w:line="240" w:lineRule="auto"/>
        <w:ind w:firstLine="709"/>
        <w:rPr>
          <w:rFonts w:cs="Sylfaen"/>
          <w:lang w:val="hy-AM"/>
        </w:rPr>
      </w:pPr>
    </w:p>
    <w:p w:rsidR="008826EC" w:rsidRPr="00B625A1" w:rsidRDefault="008826EC">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Default="00B625A1">
      <w:pPr>
        <w:rPr>
          <w:lang w:val="hy-AM"/>
        </w:rPr>
      </w:pPr>
    </w:p>
    <w:p w:rsidR="008C0476" w:rsidRPr="008C0476" w:rsidRDefault="008C0476" w:rsidP="008C0476">
      <w:pPr>
        <w:numPr>
          <w:ilvl w:val="0"/>
          <w:numId w:val="2"/>
        </w:numPr>
        <w:spacing w:before="0" w:line="240" w:lineRule="auto"/>
        <w:ind w:left="0" w:firstLine="0"/>
        <w:jc w:val="center"/>
        <w:outlineLvl w:val="0"/>
        <w:rPr>
          <w:b/>
          <w:color w:val="0070C0"/>
          <w:sz w:val="32"/>
          <w:szCs w:val="28"/>
          <w:lang w:val="ru-RU" w:eastAsia="x-none"/>
        </w:rPr>
      </w:pPr>
      <w:bookmarkStart w:id="7" w:name="_Toc103093948"/>
      <w:bookmarkStart w:id="8" w:name="_Toc109642756"/>
      <w:r w:rsidRPr="008C0476">
        <w:rPr>
          <w:b/>
          <w:color w:val="0070C0"/>
          <w:sz w:val="32"/>
          <w:szCs w:val="28"/>
          <w:lang w:val="hy-AM" w:eastAsia="x-none"/>
        </w:rPr>
        <w:lastRenderedPageBreak/>
        <w:t>ՀԱՇՎԵՔՆՆՈՒԹՅԱՆ ՀԻՄՆԱԿԱՆ ԱՐԴՅՈՒՆ</w:t>
      </w:r>
      <w:r w:rsidRPr="008C0476">
        <w:rPr>
          <w:b/>
          <w:color w:val="0070C0"/>
          <w:sz w:val="32"/>
          <w:szCs w:val="28"/>
          <w:lang w:val="ru-RU" w:eastAsia="x-none"/>
        </w:rPr>
        <w:t>ՔՆԵՐ</w:t>
      </w:r>
      <w:bookmarkEnd w:id="7"/>
      <w:bookmarkEnd w:id="8"/>
    </w:p>
    <w:p w:rsidR="008C0476" w:rsidRPr="008C0476" w:rsidRDefault="008C0476" w:rsidP="008C0476">
      <w:pPr>
        <w:rPr>
          <w:lang w:val="hy-AM"/>
        </w:rPr>
      </w:pPr>
    </w:p>
    <w:p w:rsidR="008C0476" w:rsidRPr="008C0476" w:rsidRDefault="00CD2731" w:rsidP="008C0476">
      <w:pPr>
        <w:rPr>
          <w:lang w:val="hy-AM"/>
        </w:rPr>
      </w:pPr>
      <w:r>
        <w:rPr>
          <w:lang w:val="hy-AM"/>
        </w:rPr>
        <w:t>2022</w:t>
      </w:r>
      <w:r w:rsidR="008C0476" w:rsidRPr="008C0476">
        <w:rPr>
          <w:lang w:val="hy-AM"/>
        </w:rPr>
        <w:t xml:space="preserve"> թվականի պետական բյուջեի կատարման հաշվեքննության շրջանակում իրականացվել է </w:t>
      </w:r>
      <w:r w:rsidRPr="00CD2731">
        <w:rPr>
          <w:lang w:val="hy-AM"/>
        </w:rPr>
        <w:t>Կոմիտեի պետական բյուջեի երեք ամիսների</w:t>
      </w:r>
      <w:r w:rsidR="008C0476" w:rsidRPr="008C0476">
        <w:rPr>
          <w:lang w:val="hy-AM"/>
        </w:rPr>
        <w:t xml:space="preserve"> </w:t>
      </w:r>
      <w:r w:rsidRPr="00CD2731">
        <w:rPr>
          <w:lang w:val="hy-AM"/>
        </w:rPr>
        <w:t xml:space="preserve">կատարման </w:t>
      </w:r>
      <w:r w:rsidR="008C0476" w:rsidRPr="008C0476">
        <w:rPr>
          <w:lang w:val="hy-AM"/>
        </w:rPr>
        <w:t xml:space="preserve">ֆինանսական և համապատասխանության հաշվեքննություններ։ Ստացվել է բավարար տեղեկատվություն հաշվեքննություն իրականացնելու համար: </w:t>
      </w:r>
    </w:p>
    <w:p w:rsidR="008C0476" w:rsidRPr="008C0476" w:rsidRDefault="008C0476" w:rsidP="008C0476">
      <w:pPr>
        <w:tabs>
          <w:tab w:val="left" w:pos="1890"/>
        </w:tabs>
        <w:spacing w:before="0" w:after="0"/>
        <w:ind w:firstLine="709"/>
        <w:rPr>
          <w:rFonts w:cs="Calibri"/>
          <w:szCs w:val="24"/>
          <w:lang w:val="hy-AM" w:eastAsia="ru-RU"/>
        </w:rPr>
      </w:pPr>
      <w:r w:rsidRPr="008C0476">
        <w:rPr>
          <w:rFonts w:cs="Calibri"/>
          <w:szCs w:val="24"/>
          <w:lang w:val="hy-AM" w:eastAsia="ru-RU"/>
        </w:rPr>
        <w:t xml:space="preserve">Հաշվեքննությամբ </w:t>
      </w:r>
      <w:r w:rsidR="00CD2731" w:rsidRPr="00CD2731">
        <w:rPr>
          <w:rFonts w:cs="Calibri"/>
          <w:szCs w:val="24"/>
          <w:lang w:val="hy-AM" w:eastAsia="ru-RU"/>
        </w:rPr>
        <w:t xml:space="preserve">չեն </w:t>
      </w:r>
      <w:r w:rsidRPr="008C0476">
        <w:rPr>
          <w:rFonts w:cs="Calibri"/>
          <w:szCs w:val="24"/>
          <w:lang w:val="hy-AM" w:eastAsia="ru-RU"/>
        </w:rPr>
        <w:t xml:space="preserve">հայտնաբերվել անհամապատասխանություններ, որոնք էական են </w:t>
      </w:r>
      <w:r w:rsidR="00CD2731" w:rsidRPr="00CD2731">
        <w:rPr>
          <w:rFonts w:cs="Calibri"/>
          <w:szCs w:val="24"/>
          <w:lang w:val="hy-AM" w:eastAsia="ru-RU"/>
        </w:rPr>
        <w:t xml:space="preserve">Կոմիտեի </w:t>
      </w:r>
      <w:r w:rsidR="00CD2731">
        <w:rPr>
          <w:szCs w:val="24"/>
          <w:lang w:val="hy-AM"/>
        </w:rPr>
        <w:t>2022</w:t>
      </w:r>
      <w:r w:rsidRPr="008C0476">
        <w:rPr>
          <w:szCs w:val="24"/>
          <w:lang w:val="hy-AM"/>
        </w:rPr>
        <w:t xml:space="preserve"> թվականի պետական բյուջեի </w:t>
      </w:r>
      <w:r w:rsidR="00CD2731" w:rsidRPr="00CD2731">
        <w:rPr>
          <w:szCs w:val="24"/>
          <w:lang w:val="hy-AM"/>
        </w:rPr>
        <w:t>երեք ամիսների</w:t>
      </w:r>
      <w:r w:rsidRPr="008C0476">
        <w:rPr>
          <w:szCs w:val="24"/>
          <w:lang w:val="hy-AM"/>
        </w:rPr>
        <w:t xml:space="preserve"> կատարման վերաբերյալ հաշվետվության համար: </w:t>
      </w:r>
    </w:p>
    <w:p w:rsidR="00CD2731" w:rsidRPr="008C0476" w:rsidRDefault="00CD2731" w:rsidP="00CD2731">
      <w:pPr>
        <w:tabs>
          <w:tab w:val="left" w:pos="1890"/>
        </w:tabs>
        <w:spacing w:before="0" w:after="0"/>
        <w:ind w:firstLine="709"/>
        <w:rPr>
          <w:rFonts w:cs="Calibri"/>
          <w:szCs w:val="24"/>
          <w:lang w:val="hy-AM" w:eastAsia="ru-RU"/>
        </w:rPr>
      </w:pPr>
      <w:r w:rsidRPr="008C0476">
        <w:rPr>
          <w:rFonts w:cs="Calibri"/>
          <w:szCs w:val="24"/>
          <w:lang w:val="hy-AM" w:eastAsia="ru-RU"/>
        </w:rPr>
        <w:t xml:space="preserve">Հաշվեքննությամբ </w:t>
      </w:r>
      <w:r w:rsidRPr="00CD2731">
        <w:rPr>
          <w:rFonts w:cs="Calibri"/>
          <w:szCs w:val="24"/>
          <w:lang w:val="hy-AM" w:eastAsia="ru-RU"/>
        </w:rPr>
        <w:t xml:space="preserve">չեն </w:t>
      </w:r>
      <w:r w:rsidRPr="008C0476">
        <w:rPr>
          <w:rFonts w:cs="Calibri"/>
          <w:szCs w:val="24"/>
          <w:lang w:val="hy-AM" w:eastAsia="ru-RU"/>
        </w:rPr>
        <w:t xml:space="preserve">հայտնաբերվել </w:t>
      </w:r>
      <w:r w:rsidRPr="00CD2731">
        <w:rPr>
          <w:rFonts w:cs="Calibri"/>
          <w:szCs w:val="24"/>
          <w:lang w:val="hy-AM" w:eastAsia="ru-RU"/>
        </w:rPr>
        <w:t>խեղաթյուրումներ</w:t>
      </w:r>
      <w:r w:rsidRPr="008C0476">
        <w:rPr>
          <w:rFonts w:cs="Calibri"/>
          <w:szCs w:val="24"/>
          <w:lang w:val="hy-AM" w:eastAsia="ru-RU"/>
        </w:rPr>
        <w:t xml:space="preserve">, որոնք էական են </w:t>
      </w:r>
      <w:r w:rsidRPr="00CD2731">
        <w:rPr>
          <w:rFonts w:cs="Calibri"/>
          <w:szCs w:val="24"/>
          <w:lang w:val="hy-AM" w:eastAsia="ru-RU"/>
        </w:rPr>
        <w:t xml:space="preserve">Կոմիտեի </w:t>
      </w:r>
      <w:r>
        <w:rPr>
          <w:szCs w:val="24"/>
          <w:lang w:val="hy-AM"/>
        </w:rPr>
        <w:t>2022</w:t>
      </w:r>
      <w:r w:rsidRPr="008C0476">
        <w:rPr>
          <w:szCs w:val="24"/>
          <w:lang w:val="hy-AM"/>
        </w:rPr>
        <w:t xml:space="preserve"> թվականի պետական բյուջեի </w:t>
      </w:r>
      <w:r w:rsidRPr="00CD2731">
        <w:rPr>
          <w:szCs w:val="24"/>
          <w:lang w:val="hy-AM"/>
        </w:rPr>
        <w:t>երեք ամիսների</w:t>
      </w:r>
      <w:r w:rsidRPr="008C0476">
        <w:rPr>
          <w:szCs w:val="24"/>
          <w:lang w:val="hy-AM"/>
        </w:rPr>
        <w:t xml:space="preserve"> կատարման վերաբերյալ հաշվետվության համար: </w:t>
      </w:r>
    </w:p>
    <w:p w:rsidR="00B625A1" w:rsidRPr="00B625A1" w:rsidRDefault="00B625A1">
      <w:pPr>
        <w:rPr>
          <w:lang w:val="hy-AM"/>
        </w:rPr>
      </w:pPr>
    </w:p>
    <w:p w:rsidR="00B625A1" w:rsidRPr="00B625A1" w:rsidRDefault="00B625A1">
      <w:pPr>
        <w:rPr>
          <w:lang w:val="hy-AM"/>
        </w:rPr>
      </w:pPr>
    </w:p>
    <w:p w:rsidR="00B625A1" w:rsidRPr="00B625A1" w:rsidRDefault="00B625A1">
      <w:pPr>
        <w:rPr>
          <w:lang w:val="hy-AM"/>
        </w:rPr>
      </w:pPr>
    </w:p>
    <w:p w:rsidR="00B625A1" w:rsidRDefault="00B625A1">
      <w:pPr>
        <w:rPr>
          <w:lang w:val="hy-AM"/>
        </w:rPr>
      </w:pPr>
    </w:p>
    <w:p w:rsidR="008C0476" w:rsidRDefault="008C0476">
      <w:pPr>
        <w:rPr>
          <w:lang w:val="hy-AM"/>
        </w:rPr>
      </w:pPr>
    </w:p>
    <w:p w:rsidR="008C0476" w:rsidRDefault="008C0476">
      <w:pPr>
        <w:rPr>
          <w:lang w:val="hy-AM"/>
        </w:rPr>
      </w:pPr>
    </w:p>
    <w:p w:rsidR="008C0476" w:rsidRDefault="008C0476">
      <w:pPr>
        <w:rPr>
          <w:lang w:val="hy-AM"/>
        </w:rPr>
      </w:pPr>
    </w:p>
    <w:p w:rsidR="00CD2731" w:rsidRDefault="00CD2731">
      <w:pPr>
        <w:rPr>
          <w:lang w:val="hy-AM"/>
        </w:rPr>
      </w:pPr>
    </w:p>
    <w:p w:rsidR="00CD2731" w:rsidRDefault="00CD2731">
      <w:pPr>
        <w:rPr>
          <w:lang w:val="hy-AM"/>
        </w:rPr>
      </w:pPr>
    </w:p>
    <w:p w:rsidR="00CD2731" w:rsidRDefault="00CD2731">
      <w:pPr>
        <w:rPr>
          <w:lang w:val="hy-AM"/>
        </w:rPr>
      </w:pPr>
    </w:p>
    <w:p w:rsidR="00D521CD" w:rsidRDefault="00D521CD">
      <w:pPr>
        <w:rPr>
          <w:lang w:val="hy-AM"/>
        </w:rPr>
      </w:pPr>
      <w:r>
        <w:rPr>
          <w:lang w:val="hy-AM"/>
        </w:rPr>
        <w:br w:type="page"/>
      </w:r>
    </w:p>
    <w:p w:rsidR="008C0476" w:rsidRPr="008C0476" w:rsidRDefault="008C0476" w:rsidP="008C0476">
      <w:pPr>
        <w:numPr>
          <w:ilvl w:val="0"/>
          <w:numId w:val="2"/>
        </w:numPr>
        <w:spacing w:before="0" w:line="240" w:lineRule="auto"/>
        <w:ind w:left="0" w:firstLine="0"/>
        <w:jc w:val="center"/>
        <w:outlineLvl w:val="0"/>
        <w:rPr>
          <w:b/>
          <w:bCs/>
          <w:color w:val="0070C0"/>
          <w:sz w:val="32"/>
          <w:szCs w:val="28"/>
          <w:lang w:val="ru-RU" w:eastAsia="x-none"/>
        </w:rPr>
      </w:pPr>
      <w:bookmarkStart w:id="9" w:name="_Toc94005822"/>
      <w:bookmarkStart w:id="10" w:name="_Toc103093949"/>
      <w:bookmarkStart w:id="11" w:name="_Toc109642757"/>
      <w:bookmarkStart w:id="12" w:name="_Toc46780408"/>
      <w:bookmarkStart w:id="13" w:name="_Toc77941090"/>
      <w:r w:rsidRPr="008C0476">
        <w:rPr>
          <w:b/>
          <w:color w:val="0070C0"/>
          <w:sz w:val="32"/>
          <w:szCs w:val="28"/>
          <w:lang w:val="ru-RU" w:eastAsia="x-none"/>
        </w:rPr>
        <w:lastRenderedPageBreak/>
        <w:t>ՀԱՇՎԵՔՆՆՈՒԹՅԱՆ ՕԲՅԵԿՏԻ ՖԻՆԱՆՍԱԿԱՆ ՑՈՒՑԱՆԻՇՆԵՐ</w:t>
      </w:r>
      <w:bookmarkEnd w:id="9"/>
      <w:bookmarkEnd w:id="10"/>
      <w:bookmarkEnd w:id="11"/>
    </w:p>
    <w:bookmarkEnd w:id="12"/>
    <w:bookmarkEnd w:id="13"/>
    <w:p w:rsidR="008C0476" w:rsidRPr="008C0476" w:rsidRDefault="008C0476" w:rsidP="008C0476">
      <w:pPr>
        <w:jc w:val="center"/>
        <w:rPr>
          <w:lang w:val="hy-AM"/>
        </w:rPr>
      </w:pPr>
      <w:r>
        <w:rPr>
          <w:lang w:val="hy-AM"/>
        </w:rPr>
        <w:t>2022</w:t>
      </w:r>
      <w:r w:rsidRPr="008C0476">
        <w:rPr>
          <w:lang w:val="hy-AM"/>
        </w:rPr>
        <w:t xml:space="preserve"> թվականի </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24"/>
        <w:gridCol w:w="1014"/>
        <w:gridCol w:w="1014"/>
        <w:gridCol w:w="1365"/>
        <w:gridCol w:w="1365"/>
        <w:gridCol w:w="1097"/>
        <w:gridCol w:w="938"/>
        <w:gridCol w:w="938"/>
      </w:tblGrid>
      <w:tr w:rsidR="00D521CD" w:rsidRPr="00E91AB4" w:rsidTr="0048684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auto"/>
            <w:gridSpan w:val="2"/>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rPr>
                <w:rFonts w:eastAsia="Times New Roman"/>
                <w:sz w:val="20"/>
              </w:rPr>
            </w:pPr>
            <w:proofErr w:type="spellStart"/>
            <w:r w:rsidRPr="00E91AB4">
              <w:rPr>
                <w:rFonts w:eastAsia="Times New Roman" w:cs="Calibri"/>
                <w:b w:val="0"/>
                <w:bCs w:val="0"/>
                <w:sz w:val="20"/>
              </w:rPr>
              <w:t>Ծրագիր</w:t>
            </w:r>
            <w:proofErr w:type="spellEnd"/>
            <w:r w:rsidRPr="00E91AB4">
              <w:rPr>
                <w:rFonts w:ascii="Calibri" w:eastAsia="Times New Roman" w:hAnsi="Calibri" w:cs="Calibri"/>
                <w:sz w:val="20"/>
              </w:rPr>
              <w:t> </w:t>
            </w:r>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Տարեկան</w:t>
            </w:r>
            <w:proofErr w:type="spellEnd"/>
            <w:r w:rsidRPr="00E91AB4">
              <w:rPr>
                <w:rFonts w:eastAsia="Times New Roman"/>
                <w:sz w:val="20"/>
              </w:rPr>
              <w:t xml:space="preserve"> </w:t>
            </w:r>
            <w:proofErr w:type="spellStart"/>
            <w:r w:rsidRPr="00E91AB4">
              <w:rPr>
                <w:rFonts w:eastAsia="Times New Roman"/>
                <w:sz w:val="20"/>
              </w:rPr>
              <w:t>պլան</w:t>
            </w:r>
            <w:proofErr w:type="spellEnd"/>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Տարեկան</w:t>
            </w:r>
            <w:proofErr w:type="spellEnd"/>
            <w:r w:rsidRPr="00E91AB4">
              <w:rPr>
                <w:rFonts w:eastAsia="Times New Roman"/>
                <w:sz w:val="20"/>
              </w:rPr>
              <w:t xml:space="preserve"> </w:t>
            </w:r>
            <w:proofErr w:type="spellStart"/>
            <w:r w:rsidRPr="00E91AB4">
              <w:rPr>
                <w:rFonts w:eastAsia="Times New Roman"/>
                <w:sz w:val="20"/>
              </w:rPr>
              <w:t>ճշտված</w:t>
            </w:r>
            <w:proofErr w:type="spellEnd"/>
            <w:r w:rsidRPr="00E91AB4">
              <w:rPr>
                <w:rFonts w:eastAsia="Times New Roman"/>
                <w:sz w:val="20"/>
              </w:rPr>
              <w:t xml:space="preserve"> </w:t>
            </w:r>
            <w:proofErr w:type="spellStart"/>
            <w:r w:rsidRPr="00E91AB4">
              <w:rPr>
                <w:rFonts w:eastAsia="Times New Roman"/>
                <w:sz w:val="20"/>
              </w:rPr>
              <w:t>պլան</w:t>
            </w:r>
            <w:proofErr w:type="spellEnd"/>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Հաշվետու</w:t>
            </w:r>
            <w:proofErr w:type="spellEnd"/>
            <w:r w:rsidRPr="00E91AB4">
              <w:rPr>
                <w:rFonts w:eastAsia="Times New Roman"/>
                <w:sz w:val="20"/>
              </w:rPr>
              <w:t xml:space="preserve"> </w:t>
            </w:r>
            <w:proofErr w:type="spellStart"/>
            <w:r w:rsidRPr="00E91AB4">
              <w:rPr>
                <w:rFonts w:eastAsia="Times New Roman"/>
                <w:sz w:val="20"/>
              </w:rPr>
              <w:t>ժամանակահատվածի</w:t>
            </w:r>
            <w:proofErr w:type="spellEnd"/>
            <w:r w:rsidRPr="00E91AB4">
              <w:rPr>
                <w:rFonts w:eastAsia="Times New Roman"/>
                <w:sz w:val="20"/>
              </w:rPr>
              <w:t xml:space="preserve"> </w:t>
            </w:r>
            <w:proofErr w:type="spellStart"/>
            <w:r w:rsidRPr="00E91AB4">
              <w:rPr>
                <w:rFonts w:eastAsia="Times New Roman"/>
                <w:sz w:val="20"/>
              </w:rPr>
              <w:t>պլան</w:t>
            </w:r>
            <w:proofErr w:type="spellEnd"/>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Հաշվետու</w:t>
            </w:r>
            <w:proofErr w:type="spellEnd"/>
            <w:r w:rsidRPr="00E91AB4">
              <w:rPr>
                <w:rFonts w:eastAsia="Times New Roman"/>
                <w:sz w:val="20"/>
              </w:rPr>
              <w:t xml:space="preserve"> </w:t>
            </w:r>
            <w:proofErr w:type="spellStart"/>
            <w:r w:rsidRPr="00E91AB4">
              <w:rPr>
                <w:rFonts w:eastAsia="Times New Roman"/>
                <w:sz w:val="20"/>
              </w:rPr>
              <w:t>ժամանակահատվածի</w:t>
            </w:r>
            <w:proofErr w:type="spellEnd"/>
            <w:r w:rsidRPr="00E91AB4">
              <w:rPr>
                <w:rFonts w:eastAsia="Times New Roman"/>
                <w:sz w:val="20"/>
              </w:rPr>
              <w:t xml:space="preserve"> </w:t>
            </w:r>
            <w:proofErr w:type="spellStart"/>
            <w:r w:rsidRPr="00E91AB4">
              <w:rPr>
                <w:rFonts w:eastAsia="Times New Roman"/>
                <w:sz w:val="20"/>
              </w:rPr>
              <w:t>ճշտված</w:t>
            </w:r>
            <w:proofErr w:type="spellEnd"/>
            <w:r w:rsidRPr="00E91AB4">
              <w:rPr>
                <w:rFonts w:eastAsia="Times New Roman"/>
                <w:sz w:val="20"/>
              </w:rPr>
              <w:t xml:space="preserve"> </w:t>
            </w:r>
            <w:proofErr w:type="spellStart"/>
            <w:r w:rsidRPr="00E91AB4">
              <w:rPr>
                <w:rFonts w:eastAsia="Times New Roman"/>
                <w:sz w:val="20"/>
              </w:rPr>
              <w:t>պլան</w:t>
            </w:r>
            <w:proofErr w:type="spellEnd"/>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Ֆինանսավորում</w:t>
            </w:r>
            <w:proofErr w:type="spellEnd"/>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Փաստ</w:t>
            </w:r>
            <w:proofErr w:type="spellEnd"/>
          </w:p>
        </w:tc>
        <w:tc>
          <w:tcPr>
            <w:tcW w:w="0" w:type="auto"/>
            <w:tcBorders>
              <w:top w:val="none" w:sz="0" w:space="0" w:color="auto"/>
              <w:left w:val="none" w:sz="0" w:space="0" w:color="auto"/>
              <w:bottom w:val="none" w:sz="0" w:space="0" w:color="auto"/>
              <w:right w:val="none" w:sz="0" w:space="0" w:color="auto"/>
            </w:tcBorders>
            <w:hideMark/>
          </w:tcPr>
          <w:p w:rsidR="00D521CD" w:rsidRPr="00E91AB4" w:rsidRDefault="00D521CD" w:rsidP="00157062">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Փաստացի</w:t>
            </w:r>
            <w:proofErr w:type="spellEnd"/>
            <w:r w:rsidRPr="00E91AB4">
              <w:rPr>
                <w:rFonts w:eastAsia="Times New Roman"/>
                <w:sz w:val="20"/>
              </w:rPr>
              <w:t xml:space="preserve"> </w:t>
            </w:r>
            <w:proofErr w:type="spellStart"/>
            <w:r w:rsidRPr="00E91AB4">
              <w:rPr>
                <w:rFonts w:eastAsia="Times New Roman"/>
                <w:sz w:val="20"/>
              </w:rPr>
              <w:t>ծախս</w:t>
            </w:r>
            <w:proofErr w:type="spellEnd"/>
          </w:p>
        </w:tc>
      </w:tr>
      <w:tr w:rsidR="00D521CD" w:rsidRPr="00E91AB4" w:rsidTr="0015706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D521CD" w:rsidRPr="00E91AB4" w:rsidRDefault="00D521CD" w:rsidP="00157062">
            <w:pPr>
              <w:spacing w:before="0" w:after="0" w:line="240" w:lineRule="auto"/>
              <w:ind w:firstLine="0"/>
              <w:jc w:val="left"/>
              <w:rPr>
                <w:rFonts w:eastAsia="Times New Roman"/>
                <w:sz w:val="20"/>
              </w:rPr>
            </w:pPr>
            <w:r w:rsidRPr="00E91AB4">
              <w:rPr>
                <w:rFonts w:ascii="Calibri" w:eastAsia="Times New Roman" w:hAnsi="Calibri" w:cs="Calibri"/>
                <w:sz w:val="20"/>
              </w:rPr>
              <w:t> </w:t>
            </w:r>
            <w:r w:rsidRPr="00E91AB4">
              <w:rPr>
                <w:rFonts w:eastAsia="Times New Roman" w:cs="Calibri"/>
                <w:sz w:val="20"/>
              </w:rPr>
              <w:t>ԸՆԴԱՄԵՆԸ</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170,985,237.70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171,033,555.56</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51,485,836.60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51,553,174.46</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41,761,857.54</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41,628,573.94</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43,521,106.58</w:t>
            </w:r>
          </w:p>
        </w:tc>
      </w:tr>
      <w:tr w:rsidR="00D521CD" w:rsidRPr="00E91AB4" w:rsidTr="0015706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D521CD" w:rsidRPr="00E91AB4" w:rsidRDefault="00D521CD" w:rsidP="00157062">
            <w:pPr>
              <w:spacing w:before="0" w:after="0" w:line="240" w:lineRule="auto"/>
              <w:ind w:firstLine="0"/>
              <w:jc w:val="left"/>
              <w:rPr>
                <w:rFonts w:eastAsia="Times New Roman"/>
                <w:sz w:val="20"/>
              </w:rPr>
            </w:pPr>
            <w:r w:rsidRPr="00E91AB4">
              <w:rPr>
                <w:rFonts w:eastAsia="Times New Roman"/>
                <w:sz w:val="20"/>
              </w:rPr>
              <w:t>1015</w:t>
            </w:r>
          </w:p>
        </w:tc>
        <w:tc>
          <w:tcPr>
            <w:tcW w:w="0" w:type="auto"/>
            <w:hideMark/>
          </w:tcPr>
          <w:p w:rsidR="00D521CD" w:rsidRPr="00E91AB4" w:rsidRDefault="00D521CD" w:rsidP="00157062">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Սոցիալական</w:t>
            </w:r>
            <w:proofErr w:type="spellEnd"/>
            <w:r w:rsidRPr="00E91AB4">
              <w:rPr>
                <w:rFonts w:eastAsia="Times New Roman"/>
                <w:sz w:val="20"/>
              </w:rPr>
              <w:t xml:space="preserve"> </w:t>
            </w:r>
            <w:proofErr w:type="spellStart"/>
            <w:r w:rsidRPr="00E91AB4">
              <w:rPr>
                <w:rFonts w:eastAsia="Times New Roman"/>
                <w:sz w:val="20"/>
              </w:rPr>
              <w:t>փաթեթների</w:t>
            </w:r>
            <w:proofErr w:type="spellEnd"/>
            <w:r w:rsidRPr="00E91AB4">
              <w:rPr>
                <w:rFonts w:eastAsia="Times New Roman"/>
                <w:sz w:val="20"/>
              </w:rPr>
              <w:t xml:space="preserve"> </w:t>
            </w:r>
            <w:proofErr w:type="spellStart"/>
            <w:r w:rsidRPr="00E91AB4">
              <w:rPr>
                <w:rFonts w:eastAsia="Times New Roman"/>
                <w:sz w:val="20"/>
              </w:rPr>
              <w:t>ապահովում</w:t>
            </w:r>
            <w:proofErr w:type="spellEnd"/>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233,424.00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210,600.00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38,904.00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35,100.00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33,674.00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32,256.00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32,256.00</w:t>
            </w:r>
          </w:p>
        </w:tc>
      </w:tr>
      <w:tr w:rsidR="00D521CD" w:rsidRPr="00E91AB4" w:rsidTr="0015706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D521CD" w:rsidRPr="00E91AB4" w:rsidRDefault="00D521CD" w:rsidP="00157062">
            <w:pPr>
              <w:spacing w:before="0" w:after="0" w:line="240" w:lineRule="auto"/>
              <w:ind w:firstLine="0"/>
              <w:jc w:val="left"/>
              <w:rPr>
                <w:rFonts w:eastAsia="Times New Roman"/>
                <w:sz w:val="20"/>
              </w:rPr>
            </w:pPr>
            <w:r w:rsidRPr="00E91AB4">
              <w:rPr>
                <w:rFonts w:eastAsia="Times New Roman"/>
                <w:sz w:val="20"/>
              </w:rPr>
              <w:t>1023</w:t>
            </w:r>
          </w:p>
        </w:tc>
        <w:tc>
          <w:tcPr>
            <w:tcW w:w="0" w:type="auto"/>
            <w:hideMark/>
          </w:tcPr>
          <w:p w:rsidR="00D521CD" w:rsidRPr="00E91AB4" w:rsidRDefault="00D521CD" w:rsidP="00157062">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sz w:val="20"/>
              </w:rPr>
            </w:pPr>
            <w:proofErr w:type="spellStart"/>
            <w:r w:rsidRPr="00E91AB4">
              <w:rPr>
                <w:rFonts w:eastAsia="Times New Roman"/>
                <w:sz w:val="20"/>
              </w:rPr>
              <w:t>Հարկային</w:t>
            </w:r>
            <w:proofErr w:type="spellEnd"/>
            <w:r w:rsidRPr="00E91AB4">
              <w:rPr>
                <w:rFonts w:eastAsia="Times New Roman"/>
                <w:sz w:val="20"/>
              </w:rPr>
              <w:t xml:space="preserve"> և </w:t>
            </w:r>
            <w:proofErr w:type="spellStart"/>
            <w:r w:rsidRPr="00E91AB4">
              <w:rPr>
                <w:rFonts w:eastAsia="Times New Roman"/>
                <w:sz w:val="20"/>
              </w:rPr>
              <w:t>մաքսային</w:t>
            </w:r>
            <w:proofErr w:type="spellEnd"/>
            <w:r w:rsidRPr="00E91AB4">
              <w:rPr>
                <w:rFonts w:eastAsia="Times New Roman"/>
                <w:sz w:val="20"/>
              </w:rPr>
              <w:t xml:space="preserve"> </w:t>
            </w:r>
            <w:proofErr w:type="spellStart"/>
            <w:r w:rsidRPr="00E91AB4">
              <w:rPr>
                <w:rFonts w:eastAsia="Times New Roman"/>
                <w:sz w:val="20"/>
              </w:rPr>
              <w:t>ծառայություններ</w:t>
            </w:r>
            <w:proofErr w:type="spellEnd"/>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29,817,613.70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29,888,755.56</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5,593,382.60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5,664,524.46</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3,856,210.52</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3,724,344.92</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5,616,539.47</w:t>
            </w:r>
          </w:p>
        </w:tc>
      </w:tr>
      <w:tr w:rsidR="00D521CD" w:rsidRPr="00E91AB4" w:rsidTr="0015706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D521CD" w:rsidRPr="00E91AB4" w:rsidRDefault="00D521CD" w:rsidP="00157062">
            <w:pPr>
              <w:spacing w:before="0" w:after="0" w:line="240" w:lineRule="auto"/>
              <w:ind w:firstLine="0"/>
              <w:jc w:val="left"/>
              <w:rPr>
                <w:rFonts w:eastAsia="Times New Roman"/>
                <w:sz w:val="20"/>
              </w:rPr>
            </w:pPr>
            <w:r w:rsidRPr="00E91AB4">
              <w:rPr>
                <w:rFonts w:eastAsia="Times New Roman"/>
                <w:sz w:val="20"/>
              </w:rPr>
              <w:t>1102</w:t>
            </w:r>
          </w:p>
        </w:tc>
        <w:tc>
          <w:tcPr>
            <w:tcW w:w="0" w:type="auto"/>
            <w:hideMark/>
          </w:tcPr>
          <w:p w:rsidR="00D521CD" w:rsidRPr="00E91AB4" w:rsidRDefault="00D521CD" w:rsidP="00157062">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Կենսաթոշակային</w:t>
            </w:r>
            <w:proofErr w:type="spellEnd"/>
            <w:r w:rsidRPr="00E91AB4">
              <w:rPr>
                <w:rFonts w:eastAsia="Times New Roman"/>
                <w:sz w:val="20"/>
              </w:rPr>
              <w:t xml:space="preserve"> </w:t>
            </w:r>
            <w:proofErr w:type="spellStart"/>
            <w:r w:rsidRPr="00E91AB4">
              <w:rPr>
                <w:rFonts w:eastAsia="Times New Roman"/>
                <w:sz w:val="20"/>
              </w:rPr>
              <w:t>ապահովություն</w:t>
            </w:r>
            <w:proofErr w:type="spellEnd"/>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106,200,000.00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106,200,000.00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37,170,000.00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37,170,000.00</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29,287,593.88</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29,287,593.88</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29,287,593.88</w:t>
            </w:r>
          </w:p>
        </w:tc>
      </w:tr>
      <w:tr w:rsidR="00D521CD" w:rsidRPr="00E91AB4" w:rsidTr="0015706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D521CD" w:rsidRPr="00E91AB4" w:rsidRDefault="00D521CD" w:rsidP="00157062">
            <w:pPr>
              <w:spacing w:before="0" w:after="0" w:line="240" w:lineRule="auto"/>
              <w:ind w:firstLine="0"/>
              <w:jc w:val="left"/>
              <w:rPr>
                <w:rFonts w:eastAsia="Times New Roman"/>
                <w:sz w:val="20"/>
              </w:rPr>
            </w:pPr>
            <w:r w:rsidRPr="00E91AB4">
              <w:rPr>
                <w:rFonts w:eastAsia="Times New Roman"/>
                <w:sz w:val="20"/>
              </w:rPr>
              <w:t>1205</w:t>
            </w:r>
          </w:p>
        </w:tc>
        <w:tc>
          <w:tcPr>
            <w:tcW w:w="0" w:type="auto"/>
            <w:hideMark/>
          </w:tcPr>
          <w:p w:rsidR="00D521CD" w:rsidRPr="00E91AB4" w:rsidRDefault="00D521CD" w:rsidP="00157062">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sz w:val="20"/>
              </w:rPr>
            </w:pPr>
            <w:proofErr w:type="spellStart"/>
            <w:r w:rsidRPr="00E91AB4">
              <w:rPr>
                <w:rFonts w:eastAsia="Times New Roman"/>
                <w:sz w:val="20"/>
              </w:rPr>
              <w:t>Սոցիալական</w:t>
            </w:r>
            <w:proofErr w:type="spellEnd"/>
            <w:r w:rsidRPr="00E91AB4">
              <w:rPr>
                <w:rFonts w:eastAsia="Times New Roman"/>
                <w:sz w:val="20"/>
              </w:rPr>
              <w:t xml:space="preserve"> </w:t>
            </w:r>
            <w:proofErr w:type="spellStart"/>
            <w:r w:rsidRPr="00E91AB4">
              <w:rPr>
                <w:rFonts w:eastAsia="Times New Roman"/>
                <w:sz w:val="20"/>
              </w:rPr>
              <w:t>ապահովություն</w:t>
            </w:r>
            <w:proofErr w:type="spellEnd"/>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34,734,200.00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34,734,200.00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8,683,550.00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8,683,550.00</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8,584,379.14</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8,584,379.14</w:t>
            </w:r>
          </w:p>
        </w:tc>
        <w:tc>
          <w:tcPr>
            <w:tcW w:w="0" w:type="auto"/>
            <w:noWrap/>
            <w:hideMark/>
          </w:tcPr>
          <w:p w:rsidR="00D521CD" w:rsidRPr="00E91AB4" w:rsidRDefault="00D521CD" w:rsidP="00157062">
            <w:pPr>
              <w:spacing w:before="0" w:after="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sz w:val="20"/>
              </w:rPr>
            </w:pPr>
            <w:r w:rsidRPr="00E91AB4">
              <w:rPr>
                <w:rFonts w:eastAsia="Times New Roman"/>
                <w:sz w:val="20"/>
              </w:rPr>
              <w:t>8,584,379.14</w:t>
            </w:r>
          </w:p>
        </w:tc>
      </w:tr>
      <w:tr w:rsidR="00D521CD" w:rsidRPr="00E91AB4" w:rsidTr="0015706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D521CD" w:rsidRPr="00E91AB4" w:rsidRDefault="00D521CD" w:rsidP="00157062">
            <w:pPr>
              <w:spacing w:before="0" w:after="0" w:line="240" w:lineRule="auto"/>
              <w:ind w:firstLine="0"/>
              <w:jc w:val="left"/>
              <w:rPr>
                <w:rFonts w:eastAsia="Times New Roman"/>
                <w:sz w:val="20"/>
              </w:rPr>
            </w:pPr>
            <w:r w:rsidRPr="00E91AB4">
              <w:rPr>
                <w:rFonts w:eastAsia="Times New Roman"/>
                <w:sz w:val="20"/>
              </w:rPr>
              <w:t>8984</w:t>
            </w:r>
          </w:p>
        </w:tc>
        <w:tc>
          <w:tcPr>
            <w:tcW w:w="0" w:type="auto"/>
            <w:hideMark/>
          </w:tcPr>
          <w:p w:rsidR="00D521CD" w:rsidRPr="00E91AB4" w:rsidRDefault="00D521CD" w:rsidP="00157062">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sz w:val="20"/>
              </w:rPr>
            </w:pPr>
            <w:proofErr w:type="spellStart"/>
            <w:r w:rsidRPr="00E91AB4">
              <w:rPr>
                <w:rFonts w:eastAsia="Times New Roman"/>
                <w:sz w:val="20"/>
              </w:rPr>
              <w:t>Նախորդ</w:t>
            </w:r>
            <w:proofErr w:type="spellEnd"/>
            <w:r w:rsidRPr="00E91AB4">
              <w:rPr>
                <w:rFonts w:eastAsia="Times New Roman"/>
                <w:sz w:val="20"/>
              </w:rPr>
              <w:t xml:space="preserve"> </w:t>
            </w:r>
            <w:proofErr w:type="spellStart"/>
            <w:r w:rsidRPr="00E91AB4">
              <w:rPr>
                <w:rFonts w:eastAsia="Times New Roman"/>
                <w:sz w:val="20"/>
              </w:rPr>
              <w:t>տարիների</w:t>
            </w:r>
            <w:proofErr w:type="spellEnd"/>
            <w:r w:rsidRPr="00E91AB4">
              <w:rPr>
                <w:rFonts w:eastAsia="Times New Roman"/>
                <w:sz w:val="20"/>
              </w:rPr>
              <w:t xml:space="preserve"> </w:t>
            </w:r>
            <w:proofErr w:type="spellStart"/>
            <w:r w:rsidRPr="00E91AB4">
              <w:rPr>
                <w:rFonts w:eastAsia="Times New Roman"/>
                <w:sz w:val="20"/>
              </w:rPr>
              <w:t>դեբիտորական</w:t>
            </w:r>
            <w:proofErr w:type="spellEnd"/>
            <w:r w:rsidRPr="00E91AB4">
              <w:rPr>
                <w:rFonts w:eastAsia="Times New Roman"/>
                <w:sz w:val="20"/>
              </w:rPr>
              <w:t xml:space="preserve"> և/</w:t>
            </w:r>
            <w:proofErr w:type="spellStart"/>
            <w:r w:rsidRPr="00E91AB4">
              <w:rPr>
                <w:rFonts w:eastAsia="Times New Roman"/>
                <w:sz w:val="20"/>
              </w:rPr>
              <w:t>կամ</w:t>
            </w:r>
            <w:proofErr w:type="spellEnd"/>
            <w:r w:rsidRPr="00E91AB4">
              <w:rPr>
                <w:rFonts w:eastAsia="Times New Roman"/>
                <w:sz w:val="20"/>
              </w:rPr>
              <w:t xml:space="preserve"> </w:t>
            </w:r>
            <w:proofErr w:type="spellStart"/>
            <w:r w:rsidRPr="00E91AB4">
              <w:rPr>
                <w:rFonts w:eastAsia="Times New Roman"/>
                <w:sz w:val="20"/>
              </w:rPr>
              <w:t>կրեդիտորական</w:t>
            </w:r>
            <w:proofErr w:type="spellEnd"/>
            <w:r w:rsidRPr="00E91AB4">
              <w:rPr>
                <w:rFonts w:eastAsia="Times New Roman"/>
                <w:sz w:val="20"/>
              </w:rPr>
              <w:t xml:space="preserve"> </w:t>
            </w:r>
            <w:proofErr w:type="spellStart"/>
            <w:r w:rsidRPr="00E91AB4">
              <w:rPr>
                <w:rFonts w:eastAsia="Times New Roman"/>
                <w:sz w:val="20"/>
              </w:rPr>
              <w:t>պարտքեր</w:t>
            </w:r>
            <w:proofErr w:type="spellEnd"/>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w:t>
            </w:r>
          </w:p>
        </w:tc>
        <w:tc>
          <w:tcPr>
            <w:tcW w:w="0" w:type="auto"/>
            <w:noWrap/>
            <w:hideMark/>
          </w:tcPr>
          <w:p w:rsidR="00D521CD" w:rsidRPr="00E91AB4" w:rsidRDefault="00D521CD" w:rsidP="00157062">
            <w:pPr>
              <w:spacing w:before="0" w:after="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sz w:val="20"/>
              </w:rPr>
            </w:pPr>
            <w:r w:rsidRPr="00E91AB4">
              <w:rPr>
                <w:rFonts w:eastAsia="Times New Roman"/>
                <w:sz w:val="20"/>
              </w:rPr>
              <w:t>338.09</w:t>
            </w:r>
          </w:p>
        </w:tc>
      </w:tr>
    </w:tbl>
    <w:p w:rsidR="00741082" w:rsidRPr="00741082" w:rsidRDefault="00741082" w:rsidP="00741082">
      <w:pPr>
        <w:numPr>
          <w:ilvl w:val="0"/>
          <w:numId w:val="2"/>
        </w:numPr>
        <w:spacing w:before="0" w:line="240" w:lineRule="auto"/>
        <w:ind w:left="0" w:firstLine="0"/>
        <w:jc w:val="center"/>
        <w:outlineLvl w:val="0"/>
        <w:rPr>
          <w:b/>
          <w:color w:val="0070C0"/>
          <w:sz w:val="32"/>
          <w:szCs w:val="28"/>
          <w:lang w:val="ru-RU" w:eastAsia="x-none"/>
        </w:rPr>
      </w:pPr>
      <w:bookmarkStart w:id="14" w:name="_Toc94005840"/>
      <w:bookmarkStart w:id="15" w:name="_Toc77941119"/>
      <w:bookmarkStart w:id="16" w:name="_Toc46780423"/>
      <w:bookmarkStart w:id="17" w:name="_Toc103093963"/>
      <w:bookmarkStart w:id="18" w:name="_Toc109642758"/>
      <w:r w:rsidRPr="00741082">
        <w:rPr>
          <w:b/>
          <w:color w:val="0070C0"/>
          <w:sz w:val="32"/>
          <w:szCs w:val="28"/>
          <w:lang w:val="ru-RU" w:eastAsia="x-none"/>
        </w:rPr>
        <w:lastRenderedPageBreak/>
        <w:t>ՀԱՇՎԵՔՆՆՈՒԹՅԱՄԲ ԱՐՁԱՆԱԳՐՎԱԾ ԱՅԼ ՓԱՍՏԵՐ</w:t>
      </w:r>
      <w:bookmarkEnd w:id="14"/>
      <w:bookmarkEnd w:id="15"/>
      <w:bookmarkEnd w:id="16"/>
      <w:bookmarkEnd w:id="17"/>
      <w:bookmarkEnd w:id="18"/>
    </w:p>
    <w:p w:rsidR="00741082" w:rsidRPr="00741082" w:rsidRDefault="00741082" w:rsidP="00741082">
      <w:pPr>
        <w:keepNext/>
        <w:keepLines/>
        <w:numPr>
          <w:ilvl w:val="0"/>
          <w:numId w:val="3"/>
        </w:numPr>
        <w:spacing w:before="240" w:after="0" w:line="259" w:lineRule="auto"/>
        <w:jc w:val="center"/>
        <w:outlineLvl w:val="0"/>
        <w:rPr>
          <w:rFonts w:eastAsia="Times New Roman" w:cstheme="majorBidi"/>
          <w:b/>
          <w:szCs w:val="24"/>
          <w:lang w:val="hy-AM"/>
        </w:rPr>
      </w:pPr>
      <w:bookmarkStart w:id="19" w:name="_Toc109642759"/>
      <w:r w:rsidRPr="00741082">
        <w:rPr>
          <w:rFonts w:eastAsia="Times New Roman" w:cstheme="majorBidi"/>
          <w:b/>
          <w:szCs w:val="24"/>
          <w:lang w:val="hy-AM"/>
        </w:rPr>
        <w:t>1205՝ Սոցիալական ապահովություն ծրագրի 12009՝ Հայաստանի Հանրապետության պաշտպանության ժամանակ զինծառայողների կյանքին կամ առողջությանը պատճառված վնասների հատուցման միջոցառման վերաբերյալ</w:t>
      </w:r>
      <w:bookmarkEnd w:id="19"/>
    </w:p>
    <w:p w:rsidR="00741082" w:rsidRDefault="00741082" w:rsidP="00741082">
      <w:pPr>
        <w:shd w:val="clear" w:color="auto" w:fill="FFFFFF"/>
        <w:spacing w:before="0"/>
        <w:ind w:firstLine="375"/>
        <w:rPr>
          <w:rFonts w:ascii="Sylfaen" w:eastAsia="Times New Roman" w:hAnsi="Sylfaen" w:cs="Calibri"/>
          <w:color w:val="000000"/>
          <w:szCs w:val="24"/>
          <w:lang w:val="hy-AM"/>
        </w:rPr>
      </w:pPr>
    </w:p>
    <w:p w:rsidR="00741082" w:rsidRPr="00741082" w:rsidRDefault="00741082" w:rsidP="00741082">
      <w:pPr>
        <w:shd w:val="clear" w:color="auto" w:fill="FFFFFF"/>
        <w:spacing w:before="0"/>
        <w:ind w:firstLine="375"/>
        <w:rPr>
          <w:rFonts w:eastAsia="Times New Roman"/>
          <w:color w:val="000000"/>
          <w:szCs w:val="24"/>
          <w:lang w:val="hy-AM"/>
        </w:rPr>
      </w:pPr>
      <w:r w:rsidRPr="00741082">
        <w:rPr>
          <w:rFonts w:ascii="Calibri" w:eastAsia="Times New Roman" w:hAnsi="Calibri" w:cs="Calibri"/>
          <w:color w:val="000000"/>
          <w:szCs w:val="24"/>
          <w:lang w:val="hy-AM"/>
        </w:rPr>
        <w:t> </w:t>
      </w:r>
      <w:r w:rsidRPr="00741082">
        <w:rPr>
          <w:rFonts w:eastAsia="Times New Roman" w:cs="Calibri"/>
          <w:color w:val="000000"/>
          <w:szCs w:val="24"/>
          <w:lang w:val="hy-AM"/>
        </w:rPr>
        <w:tab/>
      </w:r>
      <w:r w:rsidRPr="00741082">
        <w:rPr>
          <w:rFonts w:eastAsia="Times New Roman"/>
          <w:color w:val="000000"/>
          <w:szCs w:val="24"/>
          <w:lang w:val="hy-AM"/>
        </w:rPr>
        <w:t>Դրոշմանիշային վճարը զինծառայողների կյանքին և առողջությանը պատճառված վնասների հատուցումն ապահովելու նպատակով  օրենքով սահմանված կարգով և չափով Հայաստանի Հանրապետության պետական բյուջե վճարվող պարտադիր վճար է, որի վճարման պարտականությունը կատարվում է յուրաքանչյուր հաշվետու ժամանակաշրջանում: Դրոշմանիշ է համարվում Հիմնադրամի՝ էլեկտրոնային եղանակով թողարկած պիտակը:</w:t>
      </w:r>
    </w:p>
    <w:p w:rsidR="00741082" w:rsidRPr="00741082" w:rsidRDefault="00741082" w:rsidP="00741082">
      <w:pPr>
        <w:shd w:val="clear" w:color="auto" w:fill="FFFFFF"/>
        <w:spacing w:before="0"/>
        <w:ind w:firstLine="375"/>
        <w:rPr>
          <w:rFonts w:eastAsiaTheme="minorHAnsi" w:cstheme="minorBidi"/>
          <w:szCs w:val="24"/>
          <w:lang w:val="hy-AM"/>
        </w:rPr>
      </w:pPr>
      <w:r w:rsidRPr="00741082">
        <w:rPr>
          <w:rFonts w:eastAsiaTheme="minorHAnsi" w:cstheme="minorBidi"/>
          <w:szCs w:val="24"/>
          <w:lang w:val="hy-AM"/>
        </w:rPr>
        <w:t xml:space="preserve"> Համաձայն ՀՀ պետական բյուջեի 2022 թվականի երեք ամիսների կատարման վերաբերյալ ներկայացված հաշվետվության՝ 1205 Ծրագրի 12009 միջոցառման շրջանակներում 4639՝  Այլ ընթացիկ դրամաշնորհներ տնտեսական դասակարգման հոդվածով 2022 թվականի հաշվետու ժամանակահատվածի ճշտված պլանով նախատեսվել է հատկացնել </w:t>
      </w:r>
      <w:r w:rsidRPr="00741082">
        <w:rPr>
          <w:rFonts w:eastAsia="Times New Roman"/>
          <w:color w:val="000000"/>
          <w:szCs w:val="24"/>
          <w:lang w:val="hy-AM"/>
        </w:rPr>
        <w:t xml:space="preserve">8,683,550.00 </w:t>
      </w:r>
      <w:r w:rsidRPr="00741082">
        <w:rPr>
          <w:rFonts w:eastAsiaTheme="minorHAnsi" w:cstheme="minorBidi"/>
          <w:szCs w:val="24"/>
          <w:lang w:val="hy-AM"/>
        </w:rPr>
        <w:t xml:space="preserve">հազ. դրամ, դրամարկղային ծախսը կազմել է </w:t>
      </w:r>
      <w:r w:rsidRPr="00741082">
        <w:rPr>
          <w:rFonts w:eastAsia="Times New Roman"/>
          <w:color w:val="000000"/>
          <w:szCs w:val="24"/>
          <w:lang w:val="hy-AM"/>
        </w:rPr>
        <w:t xml:space="preserve">8,584,379.14 </w:t>
      </w:r>
      <w:r w:rsidRPr="00741082">
        <w:rPr>
          <w:rFonts w:eastAsiaTheme="minorHAnsi" w:cstheme="minorBidi"/>
          <w:szCs w:val="24"/>
          <w:lang w:val="hy-AM"/>
        </w:rPr>
        <w:t xml:space="preserve">հազ. դրամ, փաստացի ծախսը՝ </w:t>
      </w:r>
      <w:r w:rsidRPr="00741082">
        <w:rPr>
          <w:rFonts w:eastAsia="Times New Roman"/>
          <w:color w:val="000000"/>
          <w:szCs w:val="24"/>
          <w:lang w:val="hy-AM"/>
        </w:rPr>
        <w:t xml:space="preserve">8,584,379.14 </w:t>
      </w:r>
      <w:r w:rsidRPr="00741082">
        <w:rPr>
          <w:rFonts w:eastAsiaTheme="minorHAnsi" w:cstheme="minorBidi"/>
          <w:szCs w:val="24"/>
          <w:lang w:val="hy-AM"/>
        </w:rPr>
        <w:t xml:space="preserve">հազ. դրամ:  </w:t>
      </w:r>
    </w:p>
    <w:p w:rsidR="00741082" w:rsidRPr="00741082" w:rsidRDefault="00741082" w:rsidP="00741082">
      <w:pPr>
        <w:spacing w:before="0"/>
        <w:ind w:firstLine="720"/>
        <w:rPr>
          <w:rFonts w:eastAsiaTheme="minorHAnsi" w:cstheme="minorBidi"/>
          <w:szCs w:val="24"/>
          <w:lang w:val="hy-AM"/>
        </w:rPr>
      </w:pPr>
      <w:r w:rsidRPr="00741082">
        <w:rPr>
          <w:rFonts w:eastAsia="Times New Roman"/>
          <w:color w:val="000000"/>
          <w:szCs w:val="24"/>
          <w:lang w:val="hy-AM"/>
        </w:rPr>
        <w:t xml:space="preserve">Համաձայն գանձապետական հաշվի քաղվածքի՝ 2022 թվականի առաջին եռամսյակի ընթացքում «Զինծառայողների ապահովագրության հիմնադրամին» /այսուհետ՝ Հիմնադրամ/   փոխանցվել է 8,584,379.14 </w:t>
      </w:r>
      <w:r w:rsidRPr="00741082">
        <w:rPr>
          <w:rFonts w:eastAsiaTheme="minorHAnsi" w:cstheme="minorBidi"/>
          <w:szCs w:val="24"/>
          <w:lang w:val="hy-AM"/>
        </w:rPr>
        <w:t>հազ. դրամ:</w:t>
      </w:r>
    </w:p>
    <w:p w:rsidR="00741082" w:rsidRPr="00741082" w:rsidRDefault="00741082" w:rsidP="00741082">
      <w:pPr>
        <w:shd w:val="clear" w:color="auto" w:fill="FFFFFF"/>
        <w:spacing w:before="0" w:after="0"/>
        <w:ind w:firstLine="375"/>
        <w:rPr>
          <w:rFonts w:eastAsia="Times New Roman"/>
          <w:color w:val="000000"/>
          <w:szCs w:val="24"/>
          <w:lang w:val="hy-AM"/>
        </w:rPr>
      </w:pPr>
      <w:r w:rsidRPr="00741082">
        <w:rPr>
          <w:rFonts w:eastAsia="Times New Roman"/>
          <w:color w:val="000000"/>
          <w:szCs w:val="24"/>
          <w:lang w:val="hy-AM"/>
        </w:rPr>
        <w:t xml:space="preserve">Համաձայն «ՀՀ պաշտպանության ժամանակ զինծառայողների կյանքի և առողջությանը պատճառված վնասների հատուցման մասին» ՀՀ օրենքի /այսուհետ՝ Օրենք/  11-րդ հոդվածի 1-ին մասի՝ դրոշմանանիշային վճարներ պարտավոր են վճարել. </w:t>
      </w:r>
    </w:p>
    <w:p w:rsidR="00741082" w:rsidRPr="00741082" w:rsidRDefault="00741082" w:rsidP="00741082">
      <w:pPr>
        <w:shd w:val="clear" w:color="auto" w:fill="FFFFFF"/>
        <w:spacing w:before="0" w:after="0"/>
        <w:ind w:firstLine="375"/>
        <w:rPr>
          <w:rFonts w:eastAsia="Times New Roman"/>
          <w:color w:val="000000"/>
          <w:szCs w:val="24"/>
          <w:lang w:val="hy-AM"/>
        </w:rPr>
      </w:pPr>
      <w:r w:rsidRPr="00741082">
        <w:rPr>
          <w:rFonts w:eastAsia="Times New Roman"/>
          <w:color w:val="000000"/>
          <w:szCs w:val="24"/>
          <w:lang w:val="hy-AM"/>
        </w:rPr>
        <w:t xml:space="preserve">1) աշխատանքային պայմանագրով Հայաստանի Հանրապետության տարածքում կամ Հայաստանի Հանրապետության տարածքից դուրս աշխատող Հայաստանի Հանրապետության ռեզիդենտ հանդիսացող ֆիզիկական անձինք,  </w:t>
      </w:r>
    </w:p>
    <w:p w:rsidR="00741082" w:rsidRPr="00741082" w:rsidRDefault="00741082" w:rsidP="00741082">
      <w:pPr>
        <w:shd w:val="clear" w:color="auto" w:fill="FFFFFF"/>
        <w:spacing w:before="0" w:after="0"/>
        <w:ind w:firstLine="375"/>
        <w:rPr>
          <w:rFonts w:eastAsia="Times New Roman"/>
          <w:color w:val="000000"/>
          <w:szCs w:val="24"/>
          <w:lang w:val="hy-AM"/>
        </w:rPr>
      </w:pPr>
      <w:r w:rsidRPr="00741082">
        <w:rPr>
          <w:rFonts w:eastAsia="Times New Roman"/>
          <w:color w:val="000000"/>
          <w:szCs w:val="24"/>
          <w:lang w:val="hy-AM"/>
        </w:rPr>
        <w:lastRenderedPageBreak/>
        <w:t xml:space="preserve">2) աշխատանքային պայմանագրով Հայաստանի Հանրապետության տարածքում աշխատող Հայաստանի Հանրապետության ռեզիդենտ չհանդիսացող ֆիզիկական անձինք, </w:t>
      </w:r>
    </w:p>
    <w:p w:rsidR="00741082" w:rsidRPr="00741082" w:rsidRDefault="00741082" w:rsidP="00741082">
      <w:pPr>
        <w:shd w:val="clear" w:color="auto" w:fill="FFFFFF"/>
        <w:spacing w:before="0" w:after="0"/>
        <w:ind w:firstLine="375"/>
        <w:rPr>
          <w:rFonts w:eastAsia="Times New Roman"/>
          <w:color w:val="000000"/>
          <w:szCs w:val="24"/>
          <w:lang w:val="hy-AM"/>
        </w:rPr>
      </w:pPr>
      <w:r w:rsidRPr="00741082">
        <w:rPr>
          <w:rFonts w:eastAsia="Times New Roman"/>
          <w:color w:val="000000"/>
          <w:szCs w:val="24"/>
          <w:lang w:val="hy-AM"/>
        </w:rPr>
        <w:t xml:space="preserve">3) Հայաստանի Հանրապետությունում հաշվառված և ձեռնարկատիրական գործունեություն իրականացնող անհատ ձեռնարկատերերը,  </w:t>
      </w:r>
    </w:p>
    <w:p w:rsidR="00741082" w:rsidRPr="00741082" w:rsidRDefault="00741082" w:rsidP="00741082">
      <w:pPr>
        <w:shd w:val="clear" w:color="auto" w:fill="FFFFFF"/>
        <w:spacing w:before="0" w:after="0"/>
        <w:ind w:firstLine="375"/>
        <w:rPr>
          <w:rFonts w:eastAsia="Times New Roman"/>
          <w:color w:val="000000"/>
          <w:szCs w:val="24"/>
          <w:lang w:val="hy-AM"/>
        </w:rPr>
      </w:pPr>
      <w:r w:rsidRPr="00741082">
        <w:rPr>
          <w:rFonts w:eastAsia="Times New Roman"/>
          <w:color w:val="000000"/>
          <w:szCs w:val="24"/>
          <w:lang w:val="hy-AM"/>
        </w:rPr>
        <w:t xml:space="preserve">4) նոտարները,  </w:t>
      </w:r>
    </w:p>
    <w:p w:rsidR="00741082" w:rsidRPr="00741082" w:rsidRDefault="00741082" w:rsidP="00741082">
      <w:pPr>
        <w:shd w:val="clear" w:color="auto" w:fill="FFFFFF"/>
        <w:spacing w:before="0" w:after="0"/>
        <w:ind w:firstLine="375"/>
        <w:rPr>
          <w:rFonts w:eastAsia="Times New Roman"/>
          <w:color w:val="000000"/>
          <w:szCs w:val="24"/>
          <w:lang w:val="hy-AM"/>
        </w:rPr>
      </w:pPr>
      <w:r w:rsidRPr="00741082">
        <w:rPr>
          <w:rFonts w:eastAsia="Times New Roman"/>
          <w:color w:val="000000"/>
          <w:szCs w:val="24"/>
          <w:lang w:val="hy-AM"/>
        </w:rPr>
        <w:t>5) աշխատանքների կատարման կամ ծառայությունների մատուցման քաղաքացիական-իրավական պայմանագրերով Հայաստանի Հանրապետության տարածքում կամ Հայաստանի Հանրապետության տարածքից դուրս եկամուտ ստացող՝ Հայաստանի Հանրապետության ռեզիդենտ հանդիսացող ֆիզիկական անձինք,</w:t>
      </w:r>
    </w:p>
    <w:p w:rsidR="00741082" w:rsidRPr="00741082" w:rsidRDefault="00741082" w:rsidP="00741082">
      <w:pPr>
        <w:shd w:val="clear" w:color="auto" w:fill="FFFFFF"/>
        <w:spacing w:before="0"/>
        <w:ind w:firstLine="375"/>
        <w:rPr>
          <w:rFonts w:eastAsia="Times New Roman"/>
          <w:color w:val="000000"/>
          <w:szCs w:val="24"/>
          <w:lang w:val="hy-AM"/>
        </w:rPr>
      </w:pPr>
      <w:r w:rsidRPr="00741082">
        <w:rPr>
          <w:rFonts w:eastAsia="Times New Roman"/>
          <w:color w:val="000000"/>
          <w:szCs w:val="24"/>
          <w:lang w:val="hy-AM"/>
        </w:rPr>
        <w:t xml:space="preserve">  6) աշխատանքների կատարման կամ ծառայությունների մատուցման քաղաքացիական-իրավական պայմանագրերով Հայաստանի Հանրապետության աղբյուրներից եկամուտ ստացող՝ Հայաստանի Հանրապետության ռեզիդենտ չհանդիսացող ֆիզիկական անձինք:  </w:t>
      </w:r>
    </w:p>
    <w:p w:rsidR="00741082" w:rsidRPr="00741082" w:rsidRDefault="00741082" w:rsidP="00741082">
      <w:pPr>
        <w:shd w:val="clear" w:color="auto" w:fill="FFFFFF"/>
        <w:spacing w:before="0"/>
        <w:ind w:firstLine="374"/>
        <w:rPr>
          <w:rFonts w:eastAsia="Times New Roman"/>
          <w:color w:val="000000"/>
          <w:szCs w:val="24"/>
          <w:lang w:val="hy-AM"/>
        </w:rPr>
      </w:pPr>
      <w:r w:rsidRPr="00741082">
        <w:rPr>
          <w:rFonts w:eastAsia="Times New Roman"/>
          <w:color w:val="000000"/>
          <w:szCs w:val="24"/>
          <w:lang w:val="hy-AM"/>
        </w:rPr>
        <w:t xml:space="preserve">  ՀՀ պետական եկամուտների կոմիտեից պահանջվել է տրամադրել տեղեկատվություն Օրենքի վերոնշյալ  հոդվածի դրույթներին համապատասխան:  Ի պատասխան տեղեկատվություն է ստացվել միայն 3-րդ և 4-րդ կետերի մասով, իսկ Օրենքի 11-րդ հոդվածի 1-ին մասի 1-ին, 2-րդ, 5-րդ և 6–րդ կետերի մասով հայտնել են, որ հստակ օրենսդրական կարգավորում առկա չէ, ինչի հետևանքով տվյալների նույնականացում անհնար է կատարել:   </w:t>
      </w:r>
    </w:p>
    <w:p w:rsidR="00741082" w:rsidRPr="00741082" w:rsidRDefault="00741082" w:rsidP="00741082">
      <w:pPr>
        <w:shd w:val="clear" w:color="auto" w:fill="FFFFFF"/>
        <w:spacing w:before="0"/>
        <w:ind w:firstLine="374"/>
        <w:rPr>
          <w:rFonts w:eastAsia="Times New Roman"/>
          <w:color w:val="000000"/>
          <w:szCs w:val="24"/>
          <w:lang w:val="hy-AM"/>
        </w:rPr>
      </w:pPr>
      <w:r w:rsidRPr="00741082">
        <w:rPr>
          <w:rFonts w:eastAsia="Times New Roman"/>
          <w:color w:val="000000"/>
          <w:szCs w:val="24"/>
          <w:lang w:val="hy-AM"/>
        </w:rPr>
        <w:t>Ըստ ՀՀ պետական եկամուտների կոմիտեի կողմից ներկայացված տեղեկատվության համաձայն.</w:t>
      </w:r>
    </w:p>
    <w:p w:rsidR="00741082" w:rsidRPr="00741082" w:rsidRDefault="00741082" w:rsidP="000264CA">
      <w:pPr>
        <w:numPr>
          <w:ilvl w:val="0"/>
          <w:numId w:val="5"/>
        </w:numPr>
        <w:shd w:val="clear" w:color="auto" w:fill="FFFFFF"/>
        <w:spacing w:before="0" w:after="160"/>
        <w:contextualSpacing/>
        <w:rPr>
          <w:rFonts w:eastAsia="Times New Roman"/>
          <w:b/>
          <w:color w:val="000000"/>
          <w:szCs w:val="24"/>
          <w:lang w:val="hy-AM"/>
        </w:rPr>
      </w:pPr>
      <w:r w:rsidRPr="00741082">
        <w:rPr>
          <w:rFonts w:eastAsia="Times New Roman"/>
          <w:color w:val="000000"/>
          <w:szCs w:val="24"/>
          <w:lang w:val="hy-AM"/>
        </w:rPr>
        <w:t xml:space="preserve">ՀՀ հաշվառված և ձեռնարկատիրական գործունեություն իրականացնող անհատ ձեռնարկատերերի մասով՝  01.01.2022 թ. դրությամբ ապառքը կազմել է 1,130,943.02 հազ.դրամ, իսկ 01.04.2022 թվականի դրությամբ՝ 2,257.073.61 հազ.դրամ, կամ ձեռնարկատիրական գործունեություն իրականացնող անհատ ձեռնարկատերերի մասով հաշվետու ժամանակաշրջանում գոյացել են նոր ապառքներ, գումարով </w:t>
      </w:r>
      <w:r w:rsidRPr="00741082">
        <w:rPr>
          <w:rFonts w:eastAsia="Times New Roman"/>
          <w:b/>
          <w:color w:val="000000"/>
          <w:szCs w:val="24"/>
          <w:lang w:val="hy-AM"/>
        </w:rPr>
        <w:t xml:space="preserve">1,126,130.59 հազ.դրամ:  </w:t>
      </w:r>
    </w:p>
    <w:p w:rsidR="00741082" w:rsidRPr="00741082" w:rsidRDefault="00741082" w:rsidP="000264CA">
      <w:pPr>
        <w:numPr>
          <w:ilvl w:val="0"/>
          <w:numId w:val="5"/>
        </w:numPr>
        <w:shd w:val="clear" w:color="auto" w:fill="FFFFFF"/>
        <w:spacing w:before="0" w:after="160"/>
        <w:contextualSpacing/>
        <w:rPr>
          <w:rFonts w:eastAsia="Times New Roman"/>
          <w:color w:val="000000"/>
          <w:szCs w:val="24"/>
          <w:lang w:val="hy-AM"/>
        </w:rPr>
      </w:pPr>
      <w:r w:rsidRPr="00741082">
        <w:rPr>
          <w:rFonts w:eastAsia="Times New Roman"/>
          <w:color w:val="000000"/>
          <w:szCs w:val="24"/>
          <w:lang w:val="hy-AM"/>
        </w:rPr>
        <w:lastRenderedPageBreak/>
        <w:t xml:space="preserve">Նոտարների մասով՝  01.01.2022 թ. դրությամբ ապառքը կազմել է 418.80 հազ.դրամ, իսկ 01.04.2022 թվականի դրությամբ՝ 1,686.70 հազ.դրամ, կամ նոտարների մասով հաշվետու ժամանակաշրջանում գոյացել են նոր ապառքներ, գումարով՝ </w:t>
      </w:r>
      <w:r w:rsidRPr="00741082">
        <w:rPr>
          <w:rFonts w:eastAsia="Times New Roman"/>
          <w:b/>
          <w:color w:val="000000"/>
          <w:szCs w:val="24"/>
          <w:lang w:val="hy-AM"/>
        </w:rPr>
        <w:t>1,266.90</w:t>
      </w:r>
      <w:r w:rsidRPr="00741082">
        <w:rPr>
          <w:rFonts w:eastAsia="Times New Roman"/>
          <w:color w:val="000000"/>
          <w:szCs w:val="24"/>
          <w:lang w:val="hy-AM"/>
        </w:rPr>
        <w:t xml:space="preserve"> </w:t>
      </w:r>
      <w:r w:rsidRPr="00741082">
        <w:rPr>
          <w:rFonts w:eastAsia="Times New Roman"/>
          <w:b/>
          <w:color w:val="000000"/>
          <w:szCs w:val="24"/>
          <w:lang w:val="hy-AM"/>
        </w:rPr>
        <w:t>հազ.դրամ</w:t>
      </w:r>
      <w:r w:rsidRPr="00741082">
        <w:rPr>
          <w:rFonts w:eastAsia="Times New Roman"/>
          <w:color w:val="000000"/>
          <w:szCs w:val="24"/>
          <w:lang w:val="hy-AM"/>
        </w:rPr>
        <w:t xml:space="preserve">:  </w:t>
      </w:r>
    </w:p>
    <w:p w:rsidR="00741082" w:rsidRPr="00741082" w:rsidRDefault="00741082" w:rsidP="00741082">
      <w:pPr>
        <w:spacing w:before="0"/>
        <w:rPr>
          <w:rFonts w:eastAsia="Times New Roman"/>
          <w:szCs w:val="24"/>
          <w:lang w:val="hy-AM"/>
        </w:rPr>
      </w:pPr>
      <w:r w:rsidRPr="00741082">
        <w:rPr>
          <w:rFonts w:eastAsia="Times New Roman"/>
          <w:color w:val="000000"/>
          <w:szCs w:val="24"/>
          <w:lang w:val="hy-AM"/>
        </w:rPr>
        <w:t>ՀՀ պետական եկամուտների կոմիտեի կողմից</w:t>
      </w:r>
      <w:r w:rsidRPr="00741082">
        <w:rPr>
          <w:rFonts w:eastAsia="Times New Roman"/>
          <w:szCs w:val="24"/>
          <w:lang w:val="hy-AM"/>
        </w:rPr>
        <w:t xml:space="preserve"> տրամադրված տեղեկատվության համաձայն՝ «Օրենքով սահմանված կարգով հաշվարկված և չվճարված դրոշմանիշային վճարների գծով պարտավորությունների գանձման վերաբերյալ 01.01.2022-31.03.2022թթ. ընկած ժամանակահատվածում թղթային եղանակով հարուցված վարչական վարույթների շրջանակներում </w:t>
      </w:r>
      <w:r w:rsidRPr="00741082">
        <w:rPr>
          <w:rFonts w:ascii="Calibri" w:eastAsia="Times New Roman" w:hAnsi="Calibri" w:cs="Calibri"/>
          <w:szCs w:val="24"/>
          <w:lang w:val="hy-AM"/>
        </w:rPr>
        <w:t> </w:t>
      </w:r>
      <w:r w:rsidRPr="00741082">
        <w:rPr>
          <w:rFonts w:eastAsia="Times New Roman"/>
          <w:szCs w:val="24"/>
          <w:lang w:val="hy-AM"/>
        </w:rPr>
        <w:t xml:space="preserve">կայացվել են «Դրոշմանիշային վճարների գծով չկատարված պարտավորությունները գանձելու մասին» թվով 380 որոշում՝ </w:t>
      </w:r>
      <w:r w:rsidRPr="00741082">
        <w:rPr>
          <w:rFonts w:eastAsia="Times New Roman"/>
          <w:b/>
          <w:szCs w:val="24"/>
          <w:lang w:val="hy-AM"/>
        </w:rPr>
        <w:t>20</w:t>
      </w:r>
      <w:r w:rsidRPr="00741082">
        <w:rPr>
          <w:rFonts w:eastAsia="Times New Roman" w:cs="Cambria Math"/>
          <w:b/>
          <w:szCs w:val="24"/>
          <w:lang w:val="hy-AM"/>
        </w:rPr>
        <w:t>,</w:t>
      </w:r>
      <w:r w:rsidRPr="00741082">
        <w:rPr>
          <w:rFonts w:eastAsia="Times New Roman"/>
          <w:b/>
          <w:szCs w:val="24"/>
          <w:lang w:val="hy-AM"/>
        </w:rPr>
        <w:t>279</w:t>
      </w:r>
      <w:r w:rsidRPr="00741082">
        <w:rPr>
          <w:rFonts w:ascii="Cambria Math" w:eastAsia="Times New Roman" w:hAnsi="Cambria Math" w:cs="Cambria Math"/>
          <w:b/>
          <w:szCs w:val="24"/>
          <w:lang w:val="hy-AM"/>
        </w:rPr>
        <w:t>․</w:t>
      </w:r>
      <w:r w:rsidRPr="00741082">
        <w:rPr>
          <w:rFonts w:eastAsia="Times New Roman"/>
          <w:b/>
          <w:szCs w:val="24"/>
          <w:lang w:val="hy-AM"/>
        </w:rPr>
        <w:t>26 հազ. դրամ</w:t>
      </w:r>
      <w:r w:rsidRPr="00741082">
        <w:rPr>
          <w:rFonts w:eastAsia="Times New Roman"/>
          <w:szCs w:val="24"/>
          <w:lang w:val="hy-AM"/>
        </w:rPr>
        <w:t xml:space="preserve"> գումարի չափով։</w:t>
      </w:r>
      <w:r w:rsidRPr="00741082">
        <w:rPr>
          <w:rFonts w:ascii="Calibri" w:eastAsia="Times New Roman" w:hAnsi="Calibri" w:cs="Calibri"/>
          <w:szCs w:val="24"/>
          <w:lang w:val="hy-AM"/>
        </w:rPr>
        <w:t> </w:t>
      </w:r>
      <w:r w:rsidRPr="00741082">
        <w:rPr>
          <w:rFonts w:eastAsia="Times New Roman"/>
          <w:szCs w:val="24"/>
          <w:lang w:val="hy-AM"/>
        </w:rPr>
        <w:t xml:space="preserve"> 2021թ.-ի սեպտեմբեր ամսից հետո առաջացած դրոշմանիշային վճարի գծով պարտավորությունների գանձման վարչական վարույթներն իրականացվում են էլեկտրոնային եղանակով։ Էլեկտրոնային եղանակով հարուցված վարչական վարույթների շրջանակներում գանձման ենթակա պարտավորությունների մեջ ներառվում են հարկ վճարողների չկատարված պարտավորություններն ամբողջ ծավալով՝ ինչպես հարկային, այնպես էլ պարտադիր այլ վճարների, այդ թվում՝ դրոշմանիշային վճարի պարտավորությունները, ուստի</w:t>
      </w:r>
      <w:r w:rsidRPr="00741082">
        <w:rPr>
          <w:rFonts w:ascii="Calibri" w:eastAsia="Times New Roman" w:hAnsi="Calibri" w:cs="Calibri"/>
          <w:szCs w:val="24"/>
          <w:lang w:val="hy-AM"/>
        </w:rPr>
        <w:t> </w:t>
      </w:r>
      <w:r w:rsidRPr="00741082">
        <w:rPr>
          <w:rFonts w:eastAsia="Times New Roman"/>
          <w:szCs w:val="24"/>
          <w:lang w:val="hy-AM"/>
        </w:rPr>
        <w:t>01.01.2022-31.03.2022թթ. ժամանակահատվածում էլեկտրոնային եղանակով իրականացված վարչական վարույթներից դրոշմանիշային վճարների պարտավորությունների առանձնացումը և այդ մասով առանձնացված տեղեկատվության տրամադրումը հնարավոր չէ»։</w:t>
      </w:r>
      <w:r w:rsidRPr="00741082">
        <w:rPr>
          <w:rFonts w:ascii="Calibri" w:eastAsia="Calibri" w:hAnsi="Calibri" w:cs="Calibri"/>
          <w:szCs w:val="24"/>
          <w:lang w:val="hy-AM"/>
        </w:rPr>
        <w:t> </w:t>
      </w:r>
    </w:p>
    <w:p w:rsidR="00741082" w:rsidRPr="00741082" w:rsidRDefault="00741082" w:rsidP="00741082">
      <w:pPr>
        <w:shd w:val="clear" w:color="auto" w:fill="FFFFFF"/>
        <w:spacing w:before="0" w:after="0" w:line="240" w:lineRule="auto"/>
        <w:ind w:firstLine="375"/>
        <w:rPr>
          <w:rFonts w:eastAsia="Times New Roman"/>
          <w:color w:val="000000"/>
          <w:szCs w:val="24"/>
          <w:lang w:val="hy-AM"/>
        </w:rPr>
      </w:pPr>
      <w:r w:rsidRPr="00741082">
        <w:rPr>
          <w:rFonts w:ascii="Calibri" w:eastAsia="Times New Roman" w:hAnsi="Calibri" w:cs="Calibri"/>
          <w:color w:val="000000"/>
          <w:szCs w:val="24"/>
          <w:lang w:val="hy-AM"/>
        </w:rPr>
        <w:t> </w:t>
      </w:r>
    </w:p>
    <w:p w:rsidR="00741082" w:rsidRPr="00741082" w:rsidRDefault="00741082" w:rsidP="00741082">
      <w:pPr>
        <w:keepNext/>
        <w:keepLines/>
        <w:numPr>
          <w:ilvl w:val="0"/>
          <w:numId w:val="3"/>
        </w:numPr>
        <w:spacing w:before="240" w:after="0" w:line="259" w:lineRule="auto"/>
        <w:jc w:val="center"/>
        <w:outlineLvl w:val="0"/>
        <w:rPr>
          <w:rFonts w:eastAsia="Times New Roman" w:cstheme="majorBidi"/>
          <w:b/>
          <w:szCs w:val="24"/>
          <w:lang w:val="hy-AM"/>
        </w:rPr>
      </w:pPr>
      <w:r w:rsidRPr="00741082">
        <w:rPr>
          <w:rFonts w:eastAsia="Times New Roman" w:cstheme="majorBidi"/>
          <w:b/>
          <w:szCs w:val="24"/>
          <w:lang w:val="hy-AM"/>
        </w:rPr>
        <w:tab/>
      </w:r>
      <w:bookmarkStart w:id="20" w:name="_Toc109642760"/>
      <w:r w:rsidRPr="00741082">
        <w:rPr>
          <w:rFonts w:eastAsia="Times New Roman" w:cstheme="majorBidi"/>
          <w:b/>
          <w:szCs w:val="24"/>
          <w:lang w:val="hy-AM"/>
        </w:rPr>
        <w:t>1102՝ Կենսաթոշակային ապահովություն ծրագրի 12005՝ Կուտակային հատկացումներ մասնակցի կենսաթոշակային հաշվին միջոցառման վերաբերյալ</w:t>
      </w:r>
      <w:bookmarkEnd w:id="20"/>
    </w:p>
    <w:p w:rsidR="00741082" w:rsidRPr="00741082" w:rsidRDefault="00741082" w:rsidP="00741082">
      <w:pPr>
        <w:spacing w:before="0" w:after="160" w:line="240" w:lineRule="auto"/>
        <w:ind w:firstLine="720"/>
        <w:rPr>
          <w:rFonts w:eastAsiaTheme="minorHAnsi" w:cstheme="minorBidi"/>
          <w:szCs w:val="24"/>
          <w:lang w:val="hy-AM"/>
        </w:rPr>
      </w:pPr>
    </w:p>
    <w:p w:rsidR="00741082" w:rsidRPr="00741082" w:rsidRDefault="00741082" w:rsidP="00741082">
      <w:pPr>
        <w:spacing w:before="0"/>
        <w:ind w:firstLine="720"/>
        <w:rPr>
          <w:rFonts w:eastAsiaTheme="minorHAnsi" w:cstheme="minorBidi"/>
          <w:szCs w:val="24"/>
          <w:lang w:val="hy-AM"/>
        </w:rPr>
      </w:pPr>
      <w:r w:rsidRPr="00741082">
        <w:rPr>
          <w:rFonts w:eastAsiaTheme="minorHAnsi" w:cstheme="minorBidi"/>
          <w:szCs w:val="24"/>
          <w:lang w:val="hy-AM"/>
        </w:rPr>
        <w:t xml:space="preserve">Համաձայն ՀՀ պետական բյուջեի 2022 թվականի երեք ամիսների կատարման վերաբերյալ ներկայացված հաշվետվության՝ 1102 Ծրագրի 12005 միջոցառման շրջանակներում 4741՝  Կենսաթոշակներ տնտեսական դասակարգման հոդվածով 2022 թվականի հաշվետու ժամանակահատվածի ճշտված պլանով նախատեսվել է </w:t>
      </w:r>
      <w:r w:rsidRPr="00741082">
        <w:rPr>
          <w:rFonts w:eastAsiaTheme="minorHAnsi" w:cstheme="minorBidi"/>
          <w:szCs w:val="24"/>
          <w:lang w:val="hy-AM"/>
        </w:rPr>
        <w:lastRenderedPageBreak/>
        <w:t xml:space="preserve">հատկացնել </w:t>
      </w:r>
      <w:r w:rsidRPr="00741082">
        <w:rPr>
          <w:rFonts w:eastAsia="Times New Roman"/>
          <w:color w:val="000000"/>
          <w:szCs w:val="24"/>
          <w:lang w:val="hy-AM"/>
        </w:rPr>
        <w:t xml:space="preserve">37,170,000.00 </w:t>
      </w:r>
      <w:r w:rsidRPr="00741082">
        <w:rPr>
          <w:rFonts w:eastAsiaTheme="minorHAnsi" w:cstheme="minorBidi"/>
          <w:szCs w:val="24"/>
          <w:lang w:val="hy-AM"/>
        </w:rPr>
        <w:t xml:space="preserve">հազ. դրամ, դրամարկղային ծախսը կազմել է </w:t>
      </w:r>
      <w:r w:rsidRPr="00741082">
        <w:rPr>
          <w:rFonts w:eastAsia="Times New Roman"/>
          <w:color w:val="000000"/>
          <w:szCs w:val="24"/>
          <w:lang w:val="hy-AM"/>
        </w:rPr>
        <w:t>29,</w:t>
      </w:r>
      <w:r w:rsidRPr="00741082">
        <w:rPr>
          <w:rFonts w:eastAsiaTheme="minorHAnsi" w:cstheme="minorBidi"/>
          <w:szCs w:val="24"/>
          <w:lang w:val="hy-AM"/>
        </w:rPr>
        <w:t xml:space="preserve">287,593.88 հազ. դրամ, փաստացի ծախսը՝ 29,287,593.88 հազ. դրամ: </w:t>
      </w:r>
    </w:p>
    <w:p w:rsidR="00741082" w:rsidRPr="00741082" w:rsidRDefault="00741082" w:rsidP="00741082">
      <w:pPr>
        <w:spacing w:before="0"/>
        <w:ind w:firstLine="720"/>
        <w:rPr>
          <w:rFonts w:eastAsiaTheme="minorHAnsi" w:cstheme="minorBidi"/>
          <w:szCs w:val="24"/>
          <w:lang w:val="hy-AM"/>
        </w:rPr>
      </w:pPr>
      <w:r w:rsidRPr="00741082">
        <w:rPr>
          <w:rFonts w:eastAsiaTheme="minorHAnsi" w:cstheme="minorBidi"/>
          <w:szCs w:val="24"/>
          <w:lang w:val="hy-AM"/>
        </w:rPr>
        <w:t xml:space="preserve">«Կուտակային կենսաթոշակների մասին» ՀՀ օրենքի /այսուհետ՝ Օրենք/  6-րդ հոդվածի 5-րդ մասի համաձայն սոցիալական վճարը համարվում է Հայաստանի Հանրապետության հարկային օրենսգրքով սահմանված՝ շրջանառության հարկի և արտոնագրային հարկի համակարգերում հարկվող գործունեության տեսակների մասով հաշվարկված սոցիալական վճարի գծով վերջնական պարտավորությունը: </w:t>
      </w:r>
    </w:p>
    <w:p w:rsidR="00741082" w:rsidRPr="00741082" w:rsidRDefault="00741082" w:rsidP="00741082">
      <w:pPr>
        <w:numPr>
          <w:ilvl w:val="0"/>
          <w:numId w:val="4"/>
        </w:numPr>
        <w:spacing w:before="0" w:after="160" w:line="259" w:lineRule="auto"/>
        <w:ind w:left="0" w:firstLine="1080"/>
        <w:contextualSpacing/>
        <w:jc w:val="left"/>
        <w:rPr>
          <w:rFonts w:eastAsiaTheme="minorHAnsi" w:cstheme="minorBidi"/>
          <w:szCs w:val="24"/>
          <w:lang w:val="hy-AM"/>
        </w:rPr>
      </w:pPr>
      <w:r w:rsidRPr="00741082">
        <w:rPr>
          <w:rFonts w:eastAsiaTheme="minorHAnsi" w:cstheme="minorBidi"/>
          <w:szCs w:val="24"/>
          <w:lang w:val="hy-AM"/>
        </w:rPr>
        <w:t>Օրենքի համաձայն Հայաստանի Հանրապետությունում սոցիալական վճարներ են կատարում՝ 1974 թվականի հունվարի 1-ին և դրանից հետո ծնված վարձու աշխատողները, նոտարները, անհատ ձեռնարկատերերը.</w:t>
      </w:r>
    </w:p>
    <w:p w:rsidR="00741082" w:rsidRPr="00741082" w:rsidRDefault="00741082" w:rsidP="00741082">
      <w:pPr>
        <w:numPr>
          <w:ilvl w:val="0"/>
          <w:numId w:val="4"/>
        </w:numPr>
        <w:spacing w:before="0" w:after="160" w:line="259" w:lineRule="auto"/>
        <w:ind w:left="0" w:firstLine="1080"/>
        <w:contextualSpacing/>
        <w:jc w:val="left"/>
        <w:rPr>
          <w:rFonts w:eastAsiaTheme="minorHAnsi" w:cstheme="minorBidi"/>
          <w:szCs w:val="24"/>
          <w:lang w:val="hy-AM"/>
        </w:rPr>
      </w:pPr>
      <w:r w:rsidRPr="00741082">
        <w:rPr>
          <w:rFonts w:eastAsiaTheme="minorHAnsi" w:cstheme="minorBidi"/>
          <w:szCs w:val="24"/>
          <w:lang w:val="hy-AM"/>
        </w:rPr>
        <w:t>մինչև 1974 թվականը ծնված վարձու աշխատողները, նոտարները, անհատ ձեռնարկատերերը, եթե սույն օրենքով սահմանված կարգով ներկայացրել են սույն օրենքի 33-րդ հոդվածի 1-ին մասով սահմանված դիմում (այսուհետ՝ կենսաթոշակային ֆոնդի ընտրության դիմում).</w:t>
      </w:r>
    </w:p>
    <w:p w:rsidR="00741082" w:rsidRPr="00741082" w:rsidRDefault="00741082" w:rsidP="00741082">
      <w:pPr>
        <w:numPr>
          <w:ilvl w:val="0"/>
          <w:numId w:val="4"/>
        </w:numPr>
        <w:spacing w:before="0" w:after="160" w:line="259" w:lineRule="auto"/>
        <w:ind w:left="0" w:firstLine="1080"/>
        <w:contextualSpacing/>
        <w:jc w:val="left"/>
        <w:rPr>
          <w:rFonts w:eastAsiaTheme="minorHAnsi" w:cstheme="minorBidi"/>
          <w:szCs w:val="24"/>
          <w:lang w:val="hy-AM"/>
        </w:rPr>
      </w:pPr>
      <w:r w:rsidRPr="00741082">
        <w:rPr>
          <w:rFonts w:eastAsiaTheme="minorHAnsi" w:cstheme="minorBidi"/>
          <w:szCs w:val="24"/>
          <w:lang w:val="hy-AM"/>
        </w:rPr>
        <w:t xml:space="preserve"> ինքնազբաղված անձինք` անկախ տարիքից, ովքեր սույն օրենքով սահմանված կարգով ներկայացրել են կենսաթոշակային ֆոնդի ընտրության դիմում կամ սույն մասի 1-ին կետի հիման վրա երբևիցե կատարել են սոցիալական վճար:</w:t>
      </w:r>
    </w:p>
    <w:p w:rsidR="00741082" w:rsidRPr="00741082" w:rsidRDefault="00741082" w:rsidP="00741082">
      <w:pPr>
        <w:shd w:val="clear" w:color="auto" w:fill="FFFFFF"/>
        <w:spacing w:before="0"/>
        <w:ind w:firstLine="374"/>
        <w:rPr>
          <w:rFonts w:eastAsia="Times New Roman"/>
          <w:szCs w:val="24"/>
          <w:lang w:val="hy-AM"/>
        </w:rPr>
      </w:pPr>
      <w:r w:rsidRPr="00741082">
        <w:rPr>
          <w:rFonts w:eastAsia="Times New Roman"/>
          <w:szCs w:val="24"/>
          <w:lang w:val="hy-AM"/>
        </w:rPr>
        <w:t xml:space="preserve">Սոցիալական վճարների պարտավորությունների հաշվառումը իրականացվում է հարկային գործակալի (գործատուի) և սոցիալական վճարները ինքնուրույն կատարող անձանց կողմից ՊԵԿ ներկայացվող եկամտային հարկի և սոցիալական վճարի ամսական  և տարեկան հաշվարկների տվյալների հիման վրա՝  վերջիններիս համար ՊԵԿ-ում վարվող անձնական հաշվի քարտերի միջոցով: Սոցիալական վճարի պարտավորությունները հաշվառվում են հաշվարկների ներկայացման օրով և մարվում հարկերի միասնական հաշիվ մուտքագրված միջոցներից մասնակիցների ռեեստրին փոխանցելու համար գործող գանձապետական կամուրջ հաշվին փոխանցելով։ </w:t>
      </w:r>
      <w:r w:rsidRPr="00741082">
        <w:rPr>
          <w:rFonts w:ascii="Calibri" w:eastAsia="Times New Roman" w:hAnsi="Calibri" w:cs="Calibri"/>
          <w:szCs w:val="24"/>
          <w:lang w:val="hy-AM"/>
        </w:rPr>
        <w:t> </w:t>
      </w:r>
      <w:r w:rsidRPr="00741082">
        <w:rPr>
          <w:rFonts w:eastAsia="Times New Roman"/>
          <w:szCs w:val="24"/>
          <w:lang w:val="hy-AM"/>
        </w:rPr>
        <w:t xml:space="preserve">Յուրաքանչյուր փաստաթղթով (հաշվարկ, ճշտված հաշվարկ) առաջացած պարտավորությունը (այդ թվում՝ տույժերը) ամբողջությամբ մարվելուց հետո փաստաթուղթը համարվում է մարված և դրանով անհատականացված տվյալների (ՀԾՀ-ների) </w:t>
      </w:r>
      <w:r w:rsidRPr="00741082">
        <w:rPr>
          <w:rFonts w:ascii="Calibri" w:eastAsia="Times New Roman" w:hAnsi="Calibri" w:cs="Calibri"/>
          <w:szCs w:val="24"/>
          <w:lang w:val="hy-AM"/>
        </w:rPr>
        <w:t> </w:t>
      </w:r>
      <w:r w:rsidRPr="00741082">
        <w:rPr>
          <w:rFonts w:eastAsia="Times New Roman"/>
          <w:szCs w:val="24"/>
          <w:lang w:val="hy-AM"/>
        </w:rPr>
        <w:t xml:space="preserve">հիման վրա կամուրջ հաշվից սոցիալական վճարների գումարները փոխանցվում են մասնակիցների ռեեստրը վարողին՝ ՀՀ կենտրոնական դեպոզիտարիա։ Նշված գործընթացը իրականացվում է «Հարկատու 3» համակարգից ամենօրյա պարբերականությամբ գեներացվող «007» հաշվետվության հիման վրա, </w:t>
      </w:r>
      <w:r w:rsidRPr="00741082">
        <w:rPr>
          <w:rFonts w:eastAsia="Times New Roman"/>
          <w:szCs w:val="24"/>
          <w:lang w:val="hy-AM"/>
        </w:rPr>
        <w:lastRenderedPageBreak/>
        <w:t>որում ներկայացվում են տեղեկություններ յուրաքանչյուր ՀԾՀ-ի մասով փոխանցված (հաշվարկով առաջացած և ամբողջությամբ մարված) սոցիալական վճարի վերաբերյալ, միաժամանակ հաշվարկվում է նաև մասնակցի համար ՀՀ պետական բյուջեից կատարվող հատկացումների չափը։ Համակարգի կողմից ինքնաշխատ գեներացվում է վճարման հանձնարարական՝ «007» հաշվետվությամբ ձևավորված սոցիալական վճարի ամբողջական գումարի (գործատու+անձ+պետ</w:t>
      </w:r>
      <w:r w:rsidRPr="00741082">
        <w:rPr>
          <w:rFonts w:ascii="Cambria Math" w:eastAsia="MS Mincho" w:hAnsi="Cambria Math" w:cs="Cambria Math"/>
          <w:szCs w:val="24"/>
          <w:lang w:val="hy-AM"/>
        </w:rPr>
        <w:t>․</w:t>
      </w:r>
      <w:r w:rsidRPr="00741082">
        <w:rPr>
          <w:rFonts w:eastAsia="Times New Roman"/>
          <w:szCs w:val="24"/>
          <w:lang w:val="hy-AM"/>
        </w:rPr>
        <w:t xml:space="preserve">բյուջե) չափով։ </w:t>
      </w:r>
    </w:p>
    <w:p w:rsidR="00741082" w:rsidRPr="00741082" w:rsidRDefault="00741082" w:rsidP="00741082">
      <w:pPr>
        <w:shd w:val="clear" w:color="auto" w:fill="FFFFFF"/>
        <w:spacing w:before="0"/>
        <w:ind w:firstLine="374"/>
        <w:rPr>
          <w:rFonts w:eastAsia="Times New Roman"/>
          <w:szCs w:val="24"/>
          <w:lang w:val="hy-AM"/>
        </w:rPr>
      </w:pPr>
      <w:r w:rsidRPr="00741082">
        <w:rPr>
          <w:rFonts w:eastAsia="Times New Roman"/>
          <w:szCs w:val="24"/>
          <w:lang w:val="hy-AM"/>
        </w:rPr>
        <w:t>Ներկայացված գործողությունները կատարվում են ինքնաշխատ՝ «Հարկատու 3» և գանձապետական համակարգերի միջոցով՝ դրանցով սահմանված ծրագրային կարգավորումներին համապատասխան։</w:t>
      </w:r>
    </w:p>
    <w:p w:rsidR="00741082" w:rsidRPr="00741082" w:rsidRDefault="00741082" w:rsidP="00741082">
      <w:pPr>
        <w:shd w:val="clear" w:color="auto" w:fill="FFFFFF"/>
        <w:spacing w:before="0"/>
        <w:ind w:firstLine="374"/>
        <w:rPr>
          <w:rFonts w:eastAsiaTheme="minorHAnsi" w:cstheme="minorBidi"/>
          <w:szCs w:val="24"/>
          <w:lang w:val="hy-AM"/>
        </w:rPr>
      </w:pPr>
      <w:r w:rsidRPr="00741082">
        <w:rPr>
          <w:rFonts w:eastAsiaTheme="minorHAnsi" w:cstheme="minorBidi"/>
          <w:szCs w:val="24"/>
          <w:lang w:val="hy-AM"/>
        </w:rPr>
        <w:t xml:space="preserve">ՀՀ ՊԵԿ կողմից տրամադրված տեղեկատվության համաձայն 01.01.2022թ. դրությամբ սոցիալական վճարների մասով ապառքը կազմել է 503,743,04 հազ. դրամ, իսկ 01.04.2022թ. դրությամբ 647,554.52 հազ. դրամ: Նշված ապառքների նկատմամբ հաշվարկված տույժերը համապատասխանաբար կազմել են 84,418.73 հազ. դրամ և 88,827.54 հազ. դրամ: </w:t>
      </w:r>
    </w:p>
    <w:p w:rsidR="00741082" w:rsidRPr="00741082" w:rsidRDefault="00741082" w:rsidP="00741082">
      <w:pPr>
        <w:keepNext/>
        <w:keepLines/>
        <w:numPr>
          <w:ilvl w:val="0"/>
          <w:numId w:val="3"/>
        </w:numPr>
        <w:spacing w:before="240" w:after="0" w:line="259" w:lineRule="auto"/>
        <w:jc w:val="center"/>
        <w:outlineLvl w:val="0"/>
        <w:rPr>
          <w:rFonts w:eastAsia="Times New Roman" w:cstheme="majorBidi"/>
          <w:b/>
          <w:szCs w:val="24"/>
          <w:lang w:val="hy-AM"/>
        </w:rPr>
      </w:pPr>
      <w:bookmarkStart w:id="21" w:name="_Toc109642761"/>
      <w:r w:rsidRPr="00741082">
        <w:rPr>
          <w:rFonts w:eastAsia="Times New Roman" w:cstheme="majorBidi"/>
          <w:b/>
          <w:szCs w:val="24"/>
          <w:lang w:val="hy-AM"/>
        </w:rPr>
        <w:t>1023` Հարկային և մաքսային ծառայություններ ծրագրի 11001` Հարկային և մաքսային ծառայություններ  միջոցառման վերաբերյալ</w:t>
      </w:r>
      <w:bookmarkEnd w:id="21"/>
    </w:p>
    <w:p w:rsidR="00741082" w:rsidRPr="00741082" w:rsidRDefault="00741082" w:rsidP="00741082">
      <w:pPr>
        <w:spacing w:before="0" w:after="160" w:line="259" w:lineRule="auto"/>
        <w:ind w:firstLine="0"/>
        <w:jc w:val="left"/>
        <w:rPr>
          <w:rFonts w:eastAsiaTheme="minorHAnsi" w:cstheme="minorBidi"/>
          <w:szCs w:val="24"/>
          <w:lang w:val="hy-AM"/>
        </w:rPr>
      </w:pPr>
    </w:p>
    <w:p w:rsidR="00741082" w:rsidRPr="00741082" w:rsidRDefault="00741082" w:rsidP="00741082">
      <w:pPr>
        <w:spacing w:before="0" w:after="160" w:line="259" w:lineRule="auto"/>
        <w:ind w:firstLine="720"/>
        <w:rPr>
          <w:rFonts w:eastAsiaTheme="minorHAnsi" w:cstheme="minorBidi"/>
          <w:szCs w:val="24"/>
          <w:lang w:val="hy-AM"/>
        </w:rPr>
      </w:pPr>
      <w:r w:rsidRPr="00741082">
        <w:rPr>
          <w:rFonts w:eastAsiaTheme="minorHAnsi" w:cstheme="minorBidi"/>
          <w:szCs w:val="24"/>
          <w:lang w:val="hy-AM"/>
        </w:rPr>
        <w:t xml:space="preserve">Համաձայն ՀՀ պետական բյուջեի 2022 թվականի երեք ամիսների կատարման վերաբերյալ ներկայացված հաշվետվության՝ 1023 Ծրագրի 11001 միջոցառման շրջանակներում 4111՝ Աշխատողների աշխատավարձեր և հավելավճարներ տնտեսագիտական դասակարգման հոդվածով 2022 թվականի հաշվետու ժամանակահատվածի ճշտված պլանով նախատեսվել է հատկացնել </w:t>
      </w:r>
      <w:r w:rsidRPr="00741082">
        <w:rPr>
          <w:rFonts w:eastAsia="Times New Roman"/>
          <w:color w:val="000000"/>
          <w:szCs w:val="24"/>
          <w:lang w:val="hy-AM"/>
        </w:rPr>
        <w:t xml:space="preserve">1,782,853.10 </w:t>
      </w:r>
      <w:r w:rsidRPr="00741082">
        <w:rPr>
          <w:rFonts w:eastAsiaTheme="minorHAnsi" w:cstheme="minorBidi"/>
          <w:szCs w:val="24"/>
          <w:lang w:val="hy-AM"/>
        </w:rPr>
        <w:t xml:space="preserve">հազ. դրամ, դրամարկղային ծախսը կազմել է </w:t>
      </w:r>
      <w:r w:rsidRPr="00741082">
        <w:rPr>
          <w:rFonts w:eastAsia="Times New Roman"/>
          <w:color w:val="000000"/>
          <w:szCs w:val="24"/>
          <w:lang w:val="hy-AM"/>
        </w:rPr>
        <w:t xml:space="preserve">1,652,324.03 </w:t>
      </w:r>
      <w:r w:rsidRPr="00741082">
        <w:rPr>
          <w:rFonts w:eastAsiaTheme="minorHAnsi" w:cstheme="minorBidi"/>
          <w:szCs w:val="24"/>
          <w:lang w:val="hy-AM"/>
        </w:rPr>
        <w:t xml:space="preserve">հազ. դրամ, փաստացի ծախսը՝ </w:t>
      </w:r>
      <w:r w:rsidRPr="00741082">
        <w:rPr>
          <w:rFonts w:eastAsia="Times New Roman"/>
          <w:color w:val="000000"/>
          <w:szCs w:val="24"/>
          <w:lang w:val="hy-AM"/>
        </w:rPr>
        <w:t xml:space="preserve">2,147,494.03 </w:t>
      </w:r>
      <w:r w:rsidRPr="00741082">
        <w:rPr>
          <w:rFonts w:eastAsiaTheme="minorHAnsi" w:cstheme="minorBidi"/>
          <w:szCs w:val="24"/>
          <w:lang w:val="hy-AM"/>
        </w:rPr>
        <w:t xml:space="preserve">հազ. դրամ:  </w:t>
      </w:r>
    </w:p>
    <w:p w:rsidR="00741082" w:rsidRPr="00741082" w:rsidRDefault="00741082" w:rsidP="00741082">
      <w:pPr>
        <w:spacing w:before="0" w:after="160" w:line="259" w:lineRule="auto"/>
        <w:ind w:firstLine="720"/>
        <w:rPr>
          <w:rFonts w:eastAsiaTheme="minorHAnsi" w:cstheme="minorBidi"/>
          <w:szCs w:val="24"/>
          <w:lang w:val="hy-AM"/>
        </w:rPr>
      </w:pPr>
      <w:r w:rsidRPr="00741082">
        <w:rPr>
          <w:rFonts w:eastAsiaTheme="minorHAnsi" w:cstheme="minorBidi"/>
          <w:szCs w:val="24"/>
          <w:lang w:val="hy-AM"/>
        </w:rPr>
        <w:t>1023 Ծրագրի 11001 միջոցառման շրջանակներում 4112՝ Պարգևատրումներ, դրամական խրախուսումներ և հատուկ վճարներ տնտեսագիտական դասակարգման հոդվածով 2022 թվականի հաշվետու ժամանակահատվածի ճշտված պլանով նախատեսվել է հատկացնել 961</w:t>
      </w:r>
      <w:r w:rsidRPr="00741082">
        <w:rPr>
          <w:rFonts w:eastAsia="Times New Roman"/>
          <w:color w:val="000000"/>
          <w:szCs w:val="24"/>
          <w:lang w:val="hy-AM"/>
        </w:rPr>
        <w:t xml:space="preserve">,369.90 </w:t>
      </w:r>
      <w:r w:rsidRPr="00741082">
        <w:rPr>
          <w:rFonts w:eastAsiaTheme="minorHAnsi" w:cstheme="minorBidi"/>
          <w:szCs w:val="24"/>
          <w:lang w:val="hy-AM"/>
        </w:rPr>
        <w:t>հազ. դրամ, դրամարկղային ծախսը կազմել է 961</w:t>
      </w:r>
      <w:r w:rsidRPr="00741082">
        <w:rPr>
          <w:rFonts w:eastAsia="Times New Roman"/>
          <w:color w:val="000000"/>
          <w:szCs w:val="24"/>
          <w:lang w:val="hy-AM"/>
        </w:rPr>
        <w:t xml:space="preserve">,369.90 </w:t>
      </w:r>
      <w:r w:rsidRPr="00741082">
        <w:rPr>
          <w:rFonts w:eastAsiaTheme="minorHAnsi" w:cstheme="minorBidi"/>
          <w:szCs w:val="24"/>
          <w:lang w:val="hy-AM"/>
        </w:rPr>
        <w:t>հազ. դրամ, փաստացի ծախսը՝ 1</w:t>
      </w:r>
      <w:r w:rsidRPr="00741082">
        <w:rPr>
          <w:rFonts w:eastAsia="Times New Roman"/>
          <w:color w:val="000000"/>
          <w:szCs w:val="24"/>
          <w:lang w:val="hy-AM"/>
        </w:rPr>
        <w:t xml:space="preserve">,161,685.37 </w:t>
      </w:r>
      <w:r w:rsidRPr="00741082">
        <w:rPr>
          <w:rFonts w:eastAsiaTheme="minorHAnsi" w:cstheme="minorBidi"/>
          <w:szCs w:val="24"/>
          <w:lang w:val="hy-AM"/>
        </w:rPr>
        <w:t xml:space="preserve">հազ. դրամ:  </w:t>
      </w:r>
    </w:p>
    <w:p w:rsidR="00741082" w:rsidRPr="00741082" w:rsidRDefault="00741082" w:rsidP="00741082">
      <w:pPr>
        <w:keepNext/>
        <w:keepLines/>
        <w:numPr>
          <w:ilvl w:val="0"/>
          <w:numId w:val="3"/>
        </w:numPr>
        <w:spacing w:before="240" w:after="0" w:line="259" w:lineRule="auto"/>
        <w:jc w:val="center"/>
        <w:outlineLvl w:val="0"/>
        <w:rPr>
          <w:rFonts w:eastAsia="Times New Roman" w:cstheme="majorBidi"/>
          <w:b/>
          <w:szCs w:val="24"/>
          <w:lang w:val="hy-AM"/>
        </w:rPr>
      </w:pPr>
      <w:bookmarkStart w:id="22" w:name="_Toc109642762"/>
      <w:r w:rsidRPr="00741082">
        <w:rPr>
          <w:rFonts w:eastAsia="Times New Roman" w:cstheme="majorBidi"/>
          <w:b/>
          <w:szCs w:val="24"/>
          <w:lang w:val="hy-AM"/>
        </w:rPr>
        <w:lastRenderedPageBreak/>
        <w:t>1023՝ Հարկային և մաքսային ծառայություններ ծրագրի 11004՝ դրոշմապիտակների ձեռքբերում   միջոցառման վերաբերյալ</w:t>
      </w:r>
      <w:bookmarkEnd w:id="22"/>
    </w:p>
    <w:p w:rsidR="00741082" w:rsidRPr="00741082" w:rsidRDefault="00741082" w:rsidP="00741082">
      <w:pPr>
        <w:spacing w:before="0" w:after="0"/>
        <w:ind w:firstLine="0"/>
        <w:rPr>
          <w:rFonts w:asciiTheme="minorHAnsi" w:eastAsiaTheme="minorHAnsi" w:hAnsiTheme="minorHAnsi" w:cs="Sylfaen"/>
          <w:szCs w:val="24"/>
          <w:lang w:val="hy-AM"/>
        </w:rPr>
      </w:pPr>
      <w:r w:rsidRPr="00741082">
        <w:rPr>
          <w:rFonts w:asciiTheme="minorHAnsi" w:eastAsiaTheme="minorHAnsi" w:hAnsiTheme="minorHAnsi" w:cs="Sylfaen"/>
          <w:szCs w:val="24"/>
          <w:lang w:val="hy-AM"/>
        </w:rPr>
        <w:t xml:space="preserve">        </w:t>
      </w:r>
    </w:p>
    <w:p w:rsidR="00741082" w:rsidRDefault="00741082" w:rsidP="00741082">
      <w:pPr>
        <w:spacing w:before="0"/>
        <w:ind w:firstLine="0"/>
        <w:rPr>
          <w:rFonts w:eastAsiaTheme="minorHAnsi" w:cstheme="minorBidi"/>
          <w:szCs w:val="24"/>
          <w:lang w:val="hy-AM"/>
        </w:rPr>
      </w:pPr>
      <w:r w:rsidRPr="00741082">
        <w:rPr>
          <w:rFonts w:eastAsiaTheme="minorHAnsi" w:cstheme="minorBidi"/>
          <w:szCs w:val="24"/>
          <w:lang w:val="hy-AM"/>
        </w:rPr>
        <w:t xml:space="preserve">       Հարկային և մաքսային ծառայություններ ծրագրի դրոշմապիտակների ձեռքբերում միջոցառումն (այսուհետ՝ Միջոցառում) ուղղված է ՀՀ-ում արտադրվող և ներմուծվող որոշակի ապրանքների համար դրոշմապիտակների ձեռքբերմանը:                  Համաձայն «Հիմնարկի կատարած բյուջետային ծախսերի և բյուջետային պարտքերի մասի» հաշվետվության /ձև Հ-2/, 01.01.2022թ.-01.04.2022թ. ժամանակահատվածի համար ՀՀ պետական բյուջեից Հարկային և մաքսային ծառայություններ ծրագրի Միջոցառման իրականացման համար 2022 թվականին տարեկան ճշտված պլանով նախատեսվել է հատկացնել 3,704,400.00 հազ. դրամ: 2022 թվականի հաշվետու ժամանակաշրջանի (երեք ամիս) ճշտված պլանը կազմել է՝ 1,481,760.00 հազ. դրամ, իսկ դրամարկղային ծախսը 0 է: Փաստացի ծախսը կազմել է՝ 893,071.29  հազ. դրամ, որը համաձայն «Հիմնարկի դեբիտորական, կրեդիտորական պարտքերի և պահեստավորված միջոցների մասի» առ 01.04.2022թ. հաշվետվության /ձև Հ-4/, նախորդ տարվա մնացորդից հաշվետու ժամանակաշրջանում օգտագործված դրոշմապիտակների ընդհանուր գումարն է: Փաստացի ծախսից՝ 892,733.20 հազ. դրամը ՀՀ պետական բյուջեի հաշվին դրոշմապիտակների ձեռքբերման գումարն է, իսկ 338.09 հազ. դրամը դրոշմապիտակների ձեռքբերման համար ՀՀ կառավարության պահուստային ֆոնդից հատկացված գումարն է:</w:t>
      </w:r>
    </w:p>
    <w:p w:rsidR="002B0D53" w:rsidRPr="00741082" w:rsidRDefault="002B0D53" w:rsidP="00741082">
      <w:pPr>
        <w:spacing w:before="0"/>
        <w:ind w:firstLine="0"/>
        <w:rPr>
          <w:rFonts w:eastAsiaTheme="minorHAnsi" w:cstheme="minorBidi"/>
          <w:szCs w:val="24"/>
          <w:lang w:val="hy-AM"/>
        </w:rPr>
      </w:pPr>
      <w:r w:rsidRPr="00741082">
        <w:rPr>
          <w:rFonts w:eastAsiaTheme="minorHAnsi" w:cstheme="minorBidi"/>
          <w:szCs w:val="24"/>
          <w:lang w:val="hy-AM"/>
        </w:rPr>
        <w:t xml:space="preserve">Համաձայն «Ծրագրի միջոցառման գծով արդյունքային (կատարողական) ցուցանիշների վերաբերյալ» հաշվետվության /ձև Հ-8/,  01.01.2022թ.-01.04.2022թ. ժամանակահատվածում տարեկան ճշտված պլանով նախատեսվել է ձեռք բերել 980000 հազար հատ դրոշմապիտակ։ Հաշվետու ժամանակաշրջանի (երեք ամիս) ճշտված պլանով այն կազմել է՝ 392000 հազար հատ, սակայն դրոշմապիտակներ  ձեռք չեն բերվել: Դրոշմապիտակները ձեռք չեն բերվել` պայմանավորված նրանով, որ ՀՀ պետական եկամուտների կոմիտեն դրոշմապիտակների ձեռքբերման նպատակով 2022 թվականի փետրվարի 2-ին կազմակերպված ՊԵԿ-ԷԱՃԱՇՁԲ-22/1 ծածկագրով դրոշմապիտակների տպագրության աշխատանքների գնման ընթացակարգը համարվել է չկայացած և դրոշմապիտակները օգտագործվել են նախորդ տարվա մնացորդի հաշվին: Դրոշմապիտակների շարժի և հաշվետու ժամանակաշրջանի </w:t>
      </w:r>
      <w:r w:rsidRPr="00741082">
        <w:rPr>
          <w:rFonts w:eastAsiaTheme="minorHAnsi" w:cstheme="minorBidi"/>
          <w:szCs w:val="24"/>
          <w:lang w:val="hy-AM"/>
        </w:rPr>
        <w:lastRenderedPageBreak/>
        <w:t xml:space="preserve">սկզբում ու վերջում մնացորդների վերաբերյալ տեղեկատվությունը ներկայացվում է աղյուսակի տեսքով. </w:t>
      </w:r>
      <w:r w:rsidRPr="008734AE">
        <w:rPr>
          <w:rFonts w:eastAsiaTheme="minorHAnsi" w:cstheme="minorBidi"/>
          <w:szCs w:val="24"/>
          <w:lang w:val="hy-AM"/>
        </w:rPr>
        <w:t xml:space="preserve">                                                           </w:t>
      </w:r>
    </w:p>
    <w:tbl>
      <w:tblPr>
        <w:tblW w:w="11100" w:type="dxa"/>
        <w:tblInd w:w="-990" w:type="dxa"/>
        <w:tblLayout w:type="fixed"/>
        <w:tblLook w:val="04A0" w:firstRow="1" w:lastRow="0" w:firstColumn="1" w:lastColumn="0" w:noHBand="0" w:noVBand="1"/>
      </w:tblPr>
      <w:tblGrid>
        <w:gridCol w:w="11100"/>
      </w:tblGrid>
      <w:tr w:rsidR="00741082" w:rsidRPr="002B0D53" w:rsidTr="00157062">
        <w:trPr>
          <w:trHeight w:val="570"/>
        </w:trPr>
        <w:tc>
          <w:tcPr>
            <w:tcW w:w="11100" w:type="dxa"/>
            <w:tcBorders>
              <w:top w:val="nil"/>
              <w:left w:val="nil"/>
              <w:bottom w:val="nil"/>
              <w:right w:val="nil"/>
            </w:tcBorders>
            <w:shd w:val="clear" w:color="auto" w:fill="auto"/>
            <w:noWrap/>
            <w:vAlign w:val="bottom"/>
            <w:hideMark/>
          </w:tcPr>
          <w:p w:rsidR="00741082" w:rsidRPr="002B0D53" w:rsidRDefault="00741082" w:rsidP="002B0D53">
            <w:pPr>
              <w:spacing w:before="0"/>
              <w:ind w:firstLine="0"/>
              <w:rPr>
                <w:rFonts w:eastAsiaTheme="minorHAnsi" w:cstheme="minorBidi"/>
                <w:sz w:val="20"/>
                <w:szCs w:val="20"/>
                <w:lang w:val="hy-AM"/>
              </w:rPr>
            </w:pPr>
            <w:r w:rsidRPr="002B0D53">
              <w:rPr>
                <w:rFonts w:eastAsiaTheme="minorHAnsi" w:cstheme="minorBidi"/>
                <w:sz w:val="20"/>
                <w:szCs w:val="20"/>
                <w:lang w:val="hy-AM"/>
              </w:rPr>
              <w:t xml:space="preserve">                                                                                                                                                               Աղյուսակ-1  </w:t>
            </w:r>
          </w:p>
          <w:tbl>
            <w:tblPr>
              <w:tblW w:w="10674" w:type="dxa"/>
              <w:tblInd w:w="308" w:type="dxa"/>
              <w:tblLayout w:type="fixed"/>
              <w:tblLook w:val="04A0" w:firstRow="1" w:lastRow="0" w:firstColumn="1" w:lastColumn="0" w:noHBand="0" w:noVBand="1"/>
            </w:tblPr>
            <w:tblGrid>
              <w:gridCol w:w="1627"/>
              <w:gridCol w:w="1468"/>
              <w:gridCol w:w="1441"/>
              <w:gridCol w:w="851"/>
              <w:gridCol w:w="1276"/>
              <w:gridCol w:w="1299"/>
              <w:gridCol w:w="8"/>
              <w:gridCol w:w="1505"/>
              <w:gridCol w:w="8"/>
              <w:gridCol w:w="1183"/>
              <w:gridCol w:w="8"/>
            </w:tblGrid>
            <w:tr w:rsidR="00741082" w:rsidRPr="003800F4" w:rsidTr="003800F4">
              <w:trPr>
                <w:trHeight w:val="816"/>
              </w:trPr>
              <w:tc>
                <w:tcPr>
                  <w:tcW w:w="16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Դրոշմապիտակների տեսակները</w:t>
                  </w:r>
                </w:p>
              </w:tc>
              <w:tc>
                <w:tcPr>
                  <w:tcW w:w="2909" w:type="dxa"/>
                  <w:gridSpan w:val="2"/>
                  <w:tcBorders>
                    <w:top w:val="single" w:sz="4" w:space="0" w:color="auto"/>
                    <w:left w:val="nil"/>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Մնացորդը  01.01.2022թ.</w:t>
                  </w:r>
                </w:p>
              </w:tc>
              <w:tc>
                <w:tcPr>
                  <w:tcW w:w="851" w:type="dxa"/>
                  <w:tcBorders>
                    <w:top w:val="single" w:sz="4" w:space="0" w:color="auto"/>
                    <w:left w:val="nil"/>
                    <w:bottom w:val="single" w:sz="4" w:space="0" w:color="auto"/>
                    <w:right w:val="nil"/>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Ձեռքբերում</w:t>
                  </w:r>
                </w:p>
              </w:tc>
              <w:tc>
                <w:tcPr>
                  <w:tcW w:w="25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Դուրս է գրվել  /օգտագործվել է/</w:t>
                  </w:r>
                </w:p>
              </w:tc>
              <w:tc>
                <w:tcPr>
                  <w:tcW w:w="2704" w:type="dxa"/>
                  <w:gridSpan w:val="4"/>
                  <w:tcBorders>
                    <w:top w:val="single" w:sz="4" w:space="0" w:color="auto"/>
                    <w:left w:val="nil"/>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Մնացորդը  31.03.2022թ.</w:t>
                  </w:r>
                </w:p>
              </w:tc>
            </w:tr>
            <w:tr w:rsidR="00741082" w:rsidRPr="003800F4" w:rsidTr="003800F4">
              <w:trPr>
                <w:gridAfter w:val="1"/>
                <w:wAfter w:w="8" w:type="dxa"/>
                <w:trHeight w:val="924"/>
              </w:trPr>
              <w:tc>
                <w:tcPr>
                  <w:tcW w:w="1627" w:type="dxa"/>
                  <w:vMerge/>
                  <w:tcBorders>
                    <w:top w:val="single" w:sz="4" w:space="0" w:color="auto"/>
                    <w:left w:val="single" w:sz="4" w:space="0" w:color="auto"/>
                    <w:bottom w:val="single" w:sz="4" w:space="0" w:color="000000"/>
                    <w:right w:val="single" w:sz="4" w:space="0" w:color="auto"/>
                  </w:tcBorders>
                  <w:vAlign w:val="center"/>
                  <w:hideMark/>
                </w:tcPr>
                <w:p w:rsidR="00741082" w:rsidRPr="003800F4" w:rsidRDefault="00741082" w:rsidP="008734AE">
                  <w:pPr>
                    <w:spacing w:before="0"/>
                    <w:ind w:firstLine="880"/>
                    <w:rPr>
                      <w:rFonts w:eastAsiaTheme="minorHAnsi" w:cstheme="minorBidi"/>
                      <w:sz w:val="18"/>
                      <w:szCs w:val="18"/>
                      <w:lang w:val="hy-AM"/>
                    </w:rPr>
                  </w:pPr>
                </w:p>
              </w:tc>
              <w:tc>
                <w:tcPr>
                  <w:tcW w:w="1468" w:type="dxa"/>
                  <w:tcBorders>
                    <w:top w:val="nil"/>
                    <w:left w:val="nil"/>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Քանակ (հատ)</w:t>
                  </w:r>
                </w:p>
              </w:tc>
              <w:tc>
                <w:tcPr>
                  <w:tcW w:w="1441" w:type="dxa"/>
                  <w:tcBorders>
                    <w:top w:val="nil"/>
                    <w:left w:val="nil"/>
                    <w:bottom w:val="nil"/>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Գումար (հազար դրամ)</w:t>
                  </w:r>
                </w:p>
              </w:tc>
              <w:tc>
                <w:tcPr>
                  <w:tcW w:w="851" w:type="dxa"/>
                  <w:tcBorders>
                    <w:top w:val="nil"/>
                    <w:left w:val="nil"/>
                    <w:bottom w:val="nil"/>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Քանակ (հատ)</w:t>
                  </w:r>
                </w:p>
              </w:tc>
              <w:tc>
                <w:tcPr>
                  <w:tcW w:w="1276" w:type="dxa"/>
                  <w:tcBorders>
                    <w:top w:val="nil"/>
                    <w:left w:val="nil"/>
                    <w:bottom w:val="nil"/>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Քանակ (հատ)</w:t>
                  </w:r>
                </w:p>
              </w:tc>
              <w:tc>
                <w:tcPr>
                  <w:tcW w:w="1299" w:type="dxa"/>
                  <w:tcBorders>
                    <w:top w:val="nil"/>
                    <w:left w:val="nil"/>
                    <w:bottom w:val="nil"/>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Գումար (հազար դրամ)</w:t>
                  </w:r>
                </w:p>
              </w:tc>
              <w:tc>
                <w:tcPr>
                  <w:tcW w:w="1513" w:type="dxa"/>
                  <w:gridSpan w:val="2"/>
                  <w:tcBorders>
                    <w:top w:val="nil"/>
                    <w:left w:val="nil"/>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Քանակ (հատ)</w:t>
                  </w:r>
                </w:p>
              </w:tc>
              <w:tc>
                <w:tcPr>
                  <w:tcW w:w="1191" w:type="dxa"/>
                  <w:gridSpan w:val="2"/>
                  <w:tcBorders>
                    <w:top w:val="nil"/>
                    <w:left w:val="nil"/>
                    <w:bottom w:val="nil"/>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Գումար (հազար դրամ)</w:t>
                  </w:r>
                </w:p>
              </w:tc>
            </w:tr>
            <w:tr w:rsidR="00741082" w:rsidRPr="003800F4" w:rsidTr="003800F4">
              <w:trPr>
                <w:gridAfter w:val="1"/>
                <w:wAfter w:w="8" w:type="dxa"/>
                <w:trHeight w:val="852"/>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Դրոշմապիտակ «Ներմուծված»</w:t>
                  </w:r>
                </w:p>
              </w:tc>
              <w:tc>
                <w:tcPr>
                  <w:tcW w:w="1468"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128,806,219   </w:t>
                  </w:r>
                </w:p>
              </w:tc>
              <w:tc>
                <w:tcPr>
                  <w:tcW w:w="1441" w:type="dxa"/>
                  <w:tcBorders>
                    <w:top w:val="single" w:sz="4" w:space="0" w:color="auto"/>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486,864.00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89,130,363   </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336,890.00   </w:t>
                  </w:r>
                </w:p>
              </w:tc>
              <w:tc>
                <w:tcPr>
                  <w:tcW w:w="1513"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39,675,856   </w:t>
                  </w:r>
                </w:p>
              </w:tc>
              <w:tc>
                <w:tcPr>
                  <w:tcW w:w="1191" w:type="dxa"/>
                  <w:gridSpan w:val="2"/>
                  <w:tcBorders>
                    <w:top w:val="single" w:sz="4" w:space="0" w:color="auto"/>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149,974.00 </w:t>
                  </w:r>
                </w:p>
              </w:tc>
            </w:tr>
            <w:tr w:rsidR="00741082" w:rsidRPr="003800F4" w:rsidTr="003800F4">
              <w:trPr>
                <w:gridAfter w:val="1"/>
                <w:wAfter w:w="8" w:type="dxa"/>
                <w:trHeight w:val="852"/>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Դրոշմապիտակ  «Տեղական»</w:t>
                  </w:r>
                </w:p>
              </w:tc>
              <w:tc>
                <w:tcPr>
                  <w:tcW w:w="1468"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270,553,454   </w:t>
                  </w:r>
                </w:p>
              </w:tc>
              <w:tc>
                <w:tcPr>
                  <w:tcW w:w="144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1,022,699.00</w:t>
                  </w:r>
                </w:p>
              </w:tc>
              <w:tc>
                <w:tcPr>
                  <w:tcW w:w="85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276"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147,047,995   </w:t>
                  </w:r>
                </w:p>
              </w:tc>
              <w:tc>
                <w:tcPr>
                  <w:tcW w:w="1299"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555,843.00   </w:t>
                  </w:r>
                </w:p>
              </w:tc>
              <w:tc>
                <w:tcPr>
                  <w:tcW w:w="1513"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123,505,459   </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466,856.00 </w:t>
                  </w:r>
                </w:p>
              </w:tc>
            </w:tr>
            <w:tr w:rsidR="00741082" w:rsidRPr="003800F4" w:rsidTr="003800F4">
              <w:trPr>
                <w:gridAfter w:val="1"/>
                <w:wAfter w:w="8" w:type="dxa"/>
                <w:trHeight w:val="1500"/>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Դրոշմապիտակ «Ներմուծված» (Կառավարության պահուստ. Ֆոնդ)*</w:t>
                  </w:r>
                </w:p>
              </w:tc>
              <w:tc>
                <w:tcPr>
                  <w:tcW w:w="1468"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55,640   </w:t>
                  </w:r>
                </w:p>
              </w:tc>
              <w:tc>
                <w:tcPr>
                  <w:tcW w:w="144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210.00</w:t>
                  </w:r>
                </w:p>
              </w:tc>
              <w:tc>
                <w:tcPr>
                  <w:tcW w:w="85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276"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299"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513"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55,640   </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210.00 </w:t>
                  </w:r>
                </w:p>
              </w:tc>
            </w:tr>
            <w:tr w:rsidR="00741082" w:rsidRPr="003800F4" w:rsidTr="003800F4">
              <w:trPr>
                <w:gridAfter w:val="1"/>
                <w:wAfter w:w="8" w:type="dxa"/>
                <w:trHeight w:val="1644"/>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Դրոշմապիտակ  «Տեղական» (Կառավարության պահուստ. Ֆոնդ)*</w:t>
                  </w:r>
                </w:p>
              </w:tc>
              <w:tc>
                <w:tcPr>
                  <w:tcW w:w="1468"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3,218,595   </w:t>
                  </w:r>
                </w:p>
              </w:tc>
              <w:tc>
                <w:tcPr>
                  <w:tcW w:w="144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11,399.00 </w:t>
                  </w:r>
                </w:p>
              </w:tc>
              <w:tc>
                <w:tcPr>
                  <w:tcW w:w="85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276"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95,829   </w:t>
                  </w:r>
                </w:p>
              </w:tc>
              <w:tc>
                <w:tcPr>
                  <w:tcW w:w="1299"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338.00   </w:t>
                  </w:r>
                </w:p>
              </w:tc>
              <w:tc>
                <w:tcPr>
                  <w:tcW w:w="1513"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3,122,766   </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xml:space="preserve">         11,061.00 </w:t>
                  </w:r>
                </w:p>
              </w:tc>
            </w:tr>
            <w:tr w:rsidR="00741082" w:rsidRPr="003800F4" w:rsidTr="003800F4">
              <w:trPr>
                <w:gridAfter w:val="1"/>
                <w:wAfter w:w="8" w:type="dxa"/>
                <w:trHeight w:val="750"/>
              </w:trPr>
              <w:tc>
                <w:tcPr>
                  <w:tcW w:w="1627" w:type="dxa"/>
                  <w:tcBorders>
                    <w:top w:val="nil"/>
                    <w:left w:val="single" w:sz="4" w:space="0" w:color="auto"/>
                    <w:bottom w:val="single" w:sz="4" w:space="0" w:color="auto"/>
                    <w:right w:val="single" w:sz="4" w:space="0" w:color="auto"/>
                  </w:tcBorders>
                  <w:shd w:val="clear" w:color="auto" w:fill="auto"/>
                  <w:vAlign w:val="bottom"/>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Ընդամենը</w:t>
                  </w:r>
                </w:p>
              </w:tc>
              <w:tc>
                <w:tcPr>
                  <w:tcW w:w="1468"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402,633,908</w:t>
                  </w:r>
                </w:p>
              </w:tc>
              <w:tc>
                <w:tcPr>
                  <w:tcW w:w="144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1,521,172.00</w:t>
                  </w:r>
                </w:p>
              </w:tc>
              <w:tc>
                <w:tcPr>
                  <w:tcW w:w="851"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w:t>
                  </w:r>
                </w:p>
              </w:tc>
              <w:tc>
                <w:tcPr>
                  <w:tcW w:w="1276"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236,274,187</w:t>
                  </w:r>
                </w:p>
              </w:tc>
              <w:tc>
                <w:tcPr>
                  <w:tcW w:w="1299" w:type="dxa"/>
                  <w:tcBorders>
                    <w:top w:val="nil"/>
                    <w:left w:val="nil"/>
                    <w:bottom w:val="single" w:sz="4" w:space="0" w:color="auto"/>
                    <w:right w:val="single" w:sz="4" w:space="0" w:color="auto"/>
                  </w:tcBorders>
                  <w:shd w:val="clear" w:color="auto" w:fill="auto"/>
                  <w:noWrap/>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893,071.00</w:t>
                  </w:r>
                </w:p>
              </w:tc>
              <w:tc>
                <w:tcPr>
                  <w:tcW w:w="1513"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166,359,721</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741082" w:rsidRPr="003800F4" w:rsidRDefault="00741082" w:rsidP="002B0D53">
                  <w:pPr>
                    <w:spacing w:before="0"/>
                    <w:ind w:firstLine="0"/>
                    <w:rPr>
                      <w:rFonts w:eastAsiaTheme="minorHAnsi" w:cstheme="minorBidi"/>
                      <w:sz w:val="18"/>
                      <w:szCs w:val="18"/>
                      <w:lang w:val="hy-AM"/>
                    </w:rPr>
                  </w:pPr>
                  <w:r w:rsidRPr="003800F4">
                    <w:rPr>
                      <w:rFonts w:eastAsiaTheme="minorHAnsi" w:cstheme="minorBidi"/>
                      <w:sz w:val="18"/>
                      <w:szCs w:val="18"/>
                      <w:lang w:val="hy-AM"/>
                    </w:rPr>
                    <w:t>628,101.00</w:t>
                  </w:r>
                </w:p>
              </w:tc>
            </w:tr>
            <w:tr w:rsidR="00741082" w:rsidRPr="003800F4" w:rsidTr="003800F4">
              <w:trPr>
                <w:gridAfter w:val="1"/>
                <w:wAfter w:w="8" w:type="dxa"/>
                <w:trHeight w:val="300"/>
              </w:trPr>
              <w:tc>
                <w:tcPr>
                  <w:tcW w:w="1627" w:type="dxa"/>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468" w:type="dxa"/>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441" w:type="dxa"/>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851" w:type="dxa"/>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276" w:type="dxa"/>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299" w:type="dxa"/>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513" w:type="dxa"/>
                  <w:gridSpan w:val="2"/>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191" w:type="dxa"/>
                  <w:gridSpan w:val="2"/>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r>
            <w:tr w:rsidR="00741082" w:rsidRPr="003800F4" w:rsidTr="003800F4">
              <w:trPr>
                <w:trHeight w:val="300"/>
              </w:trPr>
              <w:tc>
                <w:tcPr>
                  <w:tcW w:w="6663" w:type="dxa"/>
                  <w:gridSpan w:val="5"/>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r w:rsidRPr="003800F4">
                    <w:rPr>
                      <w:rFonts w:eastAsiaTheme="minorHAnsi" w:cstheme="minorBidi"/>
                      <w:sz w:val="18"/>
                      <w:szCs w:val="18"/>
                      <w:lang w:val="hy-AM"/>
                    </w:rPr>
                    <w:t>*  Ձեռք է բերվել ՀՀ Կառավարության պահուստ ֆոնդից</w:t>
                  </w:r>
                </w:p>
              </w:tc>
              <w:tc>
                <w:tcPr>
                  <w:tcW w:w="1307" w:type="dxa"/>
                  <w:gridSpan w:val="2"/>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513" w:type="dxa"/>
                  <w:gridSpan w:val="2"/>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c>
                <w:tcPr>
                  <w:tcW w:w="1191" w:type="dxa"/>
                  <w:gridSpan w:val="2"/>
                  <w:tcBorders>
                    <w:top w:val="nil"/>
                    <w:left w:val="nil"/>
                    <w:bottom w:val="nil"/>
                    <w:right w:val="nil"/>
                  </w:tcBorders>
                  <w:shd w:val="clear" w:color="auto" w:fill="auto"/>
                  <w:noWrap/>
                  <w:vAlign w:val="bottom"/>
                  <w:hideMark/>
                </w:tcPr>
                <w:p w:rsidR="00741082" w:rsidRPr="003800F4" w:rsidRDefault="00741082" w:rsidP="008734AE">
                  <w:pPr>
                    <w:spacing w:before="0"/>
                    <w:ind w:firstLine="880"/>
                    <w:rPr>
                      <w:rFonts w:eastAsiaTheme="minorHAnsi" w:cstheme="minorBidi"/>
                      <w:sz w:val="18"/>
                      <w:szCs w:val="18"/>
                      <w:lang w:val="hy-AM"/>
                    </w:rPr>
                  </w:pPr>
                </w:p>
              </w:tc>
            </w:tr>
          </w:tbl>
          <w:p w:rsidR="00741082" w:rsidRPr="002B0D53" w:rsidRDefault="00741082" w:rsidP="002B0D53">
            <w:pPr>
              <w:spacing w:before="0"/>
              <w:ind w:firstLine="0"/>
              <w:rPr>
                <w:rFonts w:eastAsiaTheme="minorHAnsi" w:cstheme="minorBidi"/>
                <w:sz w:val="20"/>
                <w:szCs w:val="20"/>
                <w:lang w:val="hy-AM"/>
              </w:rPr>
            </w:pPr>
          </w:p>
        </w:tc>
      </w:tr>
    </w:tbl>
    <w:p w:rsidR="00741082" w:rsidRPr="00741082" w:rsidRDefault="00741082" w:rsidP="00741082">
      <w:pPr>
        <w:spacing w:before="0" w:after="160" w:line="259" w:lineRule="auto"/>
        <w:ind w:firstLine="0"/>
        <w:jc w:val="center"/>
        <w:rPr>
          <w:rFonts w:eastAsiaTheme="minorHAnsi" w:cstheme="minorBidi"/>
          <w:b/>
          <w:sz w:val="26"/>
          <w:szCs w:val="26"/>
          <w:lang w:val="hy-AM"/>
        </w:rPr>
      </w:pPr>
      <w:r w:rsidRPr="00741082">
        <w:rPr>
          <w:rFonts w:eastAsiaTheme="minorHAnsi" w:cstheme="minorBidi"/>
          <w:b/>
          <w:sz w:val="26"/>
          <w:szCs w:val="26"/>
          <w:lang w:val="hy-AM"/>
        </w:rPr>
        <w:t>Դրոշմապիտակների տպագրության աշխատանքների ձեռքբերման նպատակով կազմակերպված գնման ընթացակարգի վերաբերյալ</w:t>
      </w:r>
    </w:p>
    <w:p w:rsidR="00741082" w:rsidRPr="00741082" w:rsidRDefault="00741082" w:rsidP="00741082">
      <w:pPr>
        <w:spacing w:before="0" w:after="160"/>
        <w:ind w:firstLine="720"/>
        <w:rPr>
          <w:rFonts w:eastAsiaTheme="minorHAnsi" w:cstheme="minorBidi"/>
          <w:szCs w:val="24"/>
          <w:lang w:val="hy-AM"/>
        </w:rPr>
      </w:pPr>
      <w:r w:rsidRPr="00741082">
        <w:rPr>
          <w:rFonts w:eastAsiaTheme="minorHAnsi" w:cstheme="minorBidi"/>
          <w:szCs w:val="24"/>
          <w:lang w:val="hy-AM"/>
        </w:rPr>
        <w:t xml:space="preserve">ՀՀ պետական եկամուտների կոմիտեն դրոշմապիտակների ձեռքբերման նպատակով 2022 թվականի փետրվարի 2-ին կազմակերպել է ՊԵԿ-ԷԱՃԱՇՁԲ-22/1 ծածկագրով դրոշմապիտակների տպագրության աշխատանքների գնման ընթացակարգ՝ էլեկտրոնային աճուրդի եղանակով: Գնման հայտով նախահաշվային </w:t>
      </w:r>
      <w:r w:rsidRPr="00741082">
        <w:rPr>
          <w:rFonts w:eastAsiaTheme="minorHAnsi" w:cstheme="minorBidi"/>
          <w:szCs w:val="24"/>
          <w:lang w:val="hy-AM"/>
        </w:rPr>
        <w:lastRenderedPageBreak/>
        <w:t>գին է սահմանվել 3,704,400.00 հազ.դրամը: Համաձայն Գնահատող հանձնաժողովի թիվ 4 արձանագրության, գնման գործընթացին մասնակցել են թվով 2 ընկերություններ և ներկայացրել են հետևյալ գնային առաջարկները՝ Էյ Էմ Փի Ջի գրուպ ՍՊԸ-ն՝ 3,704,400.00 հազ.դրամ /ներառյալ ԱԱՀ-ն/ և  Բառուս գրուպ ՍՊԸ-ն՝ 3,667,356.00 հազ.դրամ /ներառյալ ԱԱՀ-ն/:  Բառուս գրուպ ՍՊԸ-ն  ճանաչվել է հաղթող, սակայն վերջինս չի ներկայացրել հայտի ապահովում և իրական շահառուների վերաբերյալ հայտարարագրում չի նշել հայտարարագրի էջերի քանակը: Գնահատող հանձնաժողովի նիստը մեկ օրով կասեցվել է և հնարավորություն է տրվել մասնակցին շտկելու անհամապատասխանությունները: Սակայն վերջինիս կողմից սահմանված ժամկետում չեն կատարվել համապատասխան շտկումները: Արդյունքում Պետական եկամուտների կոմիտեն գնման ընթացակարգը համարել է չեղյալ Գնումների մասին ՀՀ օրենքի 37-րդ հոդվածի 1-ին մասի 4-րդ կետի մասով, այն է՝ </w:t>
      </w:r>
      <w:r w:rsidRPr="00741082">
        <w:rPr>
          <w:rFonts w:eastAsiaTheme="minorHAnsi" w:cstheme="minorBidi"/>
          <w:color w:val="000000"/>
          <w:szCs w:val="24"/>
          <w:shd w:val="clear" w:color="auto" w:fill="FFFFFF"/>
          <w:lang w:val="hy-AM"/>
        </w:rPr>
        <w:t>…գնման ընթացակարգը չկայացած է հայտարարվում, եթե…պայմանագիր չի կնքվում</w:t>
      </w:r>
      <w:r w:rsidRPr="00741082">
        <w:rPr>
          <w:rFonts w:eastAsiaTheme="minorHAnsi" w:cstheme="minorBidi"/>
          <w:szCs w:val="24"/>
          <w:lang w:val="hy-AM"/>
        </w:rPr>
        <w:t> և Գնումների մասին ՀՀ օրենքի 32-րդ հոդվածի 2-րդ կետի 2-րդ ենթակետի մասի այն է՝ …խախտել է գնման գործընթացի շրջանակում ստանձնած պարտավորություն, որը հանգեցրել է գործընթացին տվյալ մասնակցի հետագա մասնակցության դադարեցմանը համաձայն, դիմել է ՀՀ ֆինանսների նախարարություն՝ Բառուս գրուպ ՍՊԸ-ին գնումների գործընթացին մասնակցելու իրավունք չունեցող մասնակիցների ցուցակում ներառելու նպատակով: Պետք է նշել, որ բողոքի քննման նիստերին  Բառուս գրուպ ՍՊԸ-ն  չի մասնակցել և դիրքորոշում չի ներկայացրել: Այսպիսով, 2022 թվականի ապրիլի 8-ին ՀՀ գնումների հետ կապված բողոքներ քննող անձի թիվ ՍՑ-ԼՕ-2022/121 որոշմամբ Բառուս գրուպ ՍՊԸ-ն 2 տարի ժամկետով, ներառվել է գնումների գործընթացին մասնակցելու իրավունք չունեցող մասնակիցների ցուցակում:</w:t>
      </w:r>
    </w:p>
    <w:p w:rsidR="00741082" w:rsidRPr="00B625A1" w:rsidRDefault="00741082">
      <w:pPr>
        <w:rPr>
          <w:lang w:val="hy-AM"/>
        </w:rPr>
      </w:pPr>
    </w:p>
    <w:sectPr w:rsidR="00741082" w:rsidRPr="00B625A1" w:rsidSect="00B625A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A9" w:rsidRDefault="008D58A9" w:rsidP="00B625A1">
      <w:pPr>
        <w:spacing w:before="0" w:after="0" w:line="240" w:lineRule="auto"/>
      </w:pPr>
      <w:r>
        <w:separator/>
      </w:r>
    </w:p>
  </w:endnote>
  <w:endnote w:type="continuationSeparator" w:id="0">
    <w:p w:rsidR="008D58A9" w:rsidRDefault="008D58A9" w:rsidP="00B625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3D" w:rsidRPr="0099513D" w:rsidRDefault="0099513D" w:rsidP="0099513D">
    <w:pPr>
      <w:spacing w:after="0" w:line="240" w:lineRule="auto"/>
      <w:jc w:val="right"/>
      <w:rPr>
        <w:sz w:val="20"/>
        <w:szCs w:val="20"/>
        <w:lang w:eastAsia="x-none"/>
      </w:rPr>
    </w:pPr>
    <w:r w:rsidRPr="0099513D">
      <w:rPr>
        <w:b/>
        <w:caps/>
        <w:color w:val="0070C0"/>
        <w:sz w:val="18"/>
        <w:szCs w:val="18"/>
        <w:lang w:val="hy-AM" w:eastAsia="x-none"/>
      </w:rPr>
      <w:t>ՀԱՇՎԵՔՆՆԻՉ ՀՀ ՊԱԼԱՏԻ ԸՆԹԱՑԻԿ ԵԶՐԱԿԱՑՈՒԹՅՈՒՆ</w:t>
    </w:r>
    <w:r>
      <w:rPr>
        <w:b/>
        <w:caps/>
        <w:color w:val="0070C0"/>
        <w:sz w:val="18"/>
        <w:szCs w:val="18"/>
        <w:lang w:val="hy-AM" w:eastAsia="x-none"/>
      </w:rPr>
      <w:t xml:space="preserve"> | 2022</w:t>
    </w:r>
    <w:r w:rsidRPr="0099513D">
      <w:rPr>
        <w:rFonts w:ascii="Calibri" w:hAnsi="Calibri" w:cs="Calibri"/>
        <w:caps/>
        <w:color w:val="808080"/>
        <w:sz w:val="18"/>
        <w:szCs w:val="18"/>
        <w:lang w:eastAsia="x-none"/>
      </w:rPr>
      <w:t> </w:t>
    </w:r>
    <w:r w:rsidRPr="0099513D">
      <w:rPr>
        <w:caps/>
        <w:color w:val="808080"/>
        <w:sz w:val="18"/>
        <w:szCs w:val="18"/>
        <w:lang w:eastAsia="x-none"/>
      </w:rPr>
      <w:t>|</w:t>
    </w:r>
    <w:r w:rsidRPr="0099513D">
      <w:rPr>
        <w:rFonts w:ascii="Calibri" w:hAnsi="Calibri" w:cs="Calibri"/>
        <w:caps/>
        <w:color w:val="808080"/>
        <w:sz w:val="20"/>
        <w:szCs w:val="20"/>
        <w:lang w:eastAsia="x-none"/>
      </w:rPr>
      <w:t> </w:t>
    </w:r>
    <w:r w:rsidRPr="0099513D">
      <w:rPr>
        <w:sz w:val="20"/>
        <w:szCs w:val="20"/>
        <w:lang w:eastAsia="x-none"/>
      </w:rPr>
      <w:t xml:space="preserve">     </w:t>
    </w:r>
  </w:p>
  <w:p w:rsidR="0099513D" w:rsidRDefault="0099513D" w:rsidP="00741082">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A9" w:rsidRDefault="008D58A9" w:rsidP="00B625A1">
      <w:pPr>
        <w:spacing w:before="0" w:after="0" w:line="240" w:lineRule="auto"/>
      </w:pPr>
      <w:r>
        <w:separator/>
      </w:r>
    </w:p>
  </w:footnote>
  <w:footnote w:type="continuationSeparator" w:id="0">
    <w:p w:rsidR="008D58A9" w:rsidRDefault="008D58A9" w:rsidP="00B625A1">
      <w:pPr>
        <w:spacing w:before="0" w:after="0" w:line="240" w:lineRule="auto"/>
      </w:pPr>
      <w:r>
        <w:continuationSeparator/>
      </w:r>
    </w:p>
  </w:footnote>
  <w:footnote w:id="1">
    <w:p w:rsidR="00242709" w:rsidRPr="00242709" w:rsidRDefault="00242709" w:rsidP="00242709">
      <w:pPr>
        <w:tabs>
          <w:tab w:val="left" w:pos="851"/>
        </w:tabs>
        <w:spacing w:before="0" w:after="0" w:line="240" w:lineRule="auto"/>
        <w:ind w:firstLine="567"/>
        <w:rPr>
          <w:rFonts w:eastAsia="Times New Roman"/>
          <w:sz w:val="10"/>
          <w:szCs w:val="10"/>
        </w:rPr>
      </w:pPr>
      <w:r>
        <w:rPr>
          <w:rStyle w:val="FootnoteReference"/>
        </w:rPr>
        <w:footnoteRef/>
      </w:r>
      <w:r>
        <w:t xml:space="preserve"> </w:t>
      </w:r>
      <w:r w:rsidRPr="00242709">
        <w:rPr>
          <w:sz w:val="20"/>
          <w:szCs w:val="20"/>
          <w:lang w:val="hy-AM" w:eastAsia="x-none"/>
        </w:rPr>
        <w:t>Տվյալ հաշվեքննություն իրականացրած պաշտոնատար անձինք հաջորդիվ իրականացնելու են Հայաստանի Հանրապետության պետական եկամուտների կոմիտեի կողմից</w:t>
      </w:r>
      <w:r>
        <w:rPr>
          <w:sz w:val="20"/>
          <w:szCs w:val="20"/>
          <w:lang w:val="hy-AM" w:eastAsia="x-none"/>
        </w:rPr>
        <w:t xml:space="preserve"> 2022</w:t>
      </w:r>
      <w:r w:rsidRPr="00242709">
        <w:rPr>
          <w:sz w:val="20"/>
          <w:szCs w:val="20"/>
          <w:lang w:val="hy-AM" w:eastAsia="x-none"/>
        </w:rPr>
        <w:t xml:space="preserve"> թվականի պետական բյուջեի վեց, ինն ամիսների և տարեկան կատարման հաշվեքննություն</w:t>
      </w:r>
      <w:r>
        <w:rPr>
          <w:sz w:val="20"/>
          <w:szCs w:val="20"/>
          <w:lang w:eastAsia="x-none"/>
        </w:rPr>
        <w:t>:</w:t>
      </w:r>
    </w:p>
    <w:p w:rsidR="00242709" w:rsidRPr="00242709" w:rsidRDefault="00242709">
      <w:pPr>
        <w:pStyle w:val="FootnoteText"/>
        <w:rPr>
          <w:lang w:val="hy-AM"/>
        </w:rPr>
      </w:pPr>
    </w:p>
  </w:footnote>
  <w:footnote w:id="2">
    <w:p w:rsidR="00557C56" w:rsidRPr="00557C56" w:rsidRDefault="00557C56" w:rsidP="00557C56">
      <w:pPr>
        <w:pStyle w:val="FootnoteText"/>
        <w:rPr>
          <w:lang w:val="hy-AM"/>
        </w:rPr>
      </w:pPr>
      <w:r w:rsidRPr="00CB0672">
        <w:rPr>
          <w:rStyle w:val="FootnoteReference"/>
        </w:rPr>
        <w:footnoteRef/>
      </w:r>
      <w:r w:rsidRPr="00CB0672">
        <w:rPr>
          <w:lang w:val="hy-AM"/>
        </w:rPr>
        <w:t xml:space="preserve"> </w:t>
      </w:r>
      <w:r w:rsidRPr="00CB0672">
        <w:rPr>
          <w:color w:val="000000"/>
          <w:shd w:val="clear" w:color="auto" w:fill="FFFFFF"/>
          <w:lang w:val="hy-AM"/>
        </w:rPr>
        <w:t>Հաշվեքննիչ պալատի մասին ՀՀ օրենքի 35-րդ հոդվածի 3-րդ մասի համաձայն հաշվեքննության արդյունքներն արձանագրվել և ներկայացվել է հաշվեքնության օբյեկտի ղեկավարին,</w:t>
      </w:r>
      <w:r w:rsidRPr="00CB0672">
        <w:rPr>
          <w:rFonts w:ascii="Calibri" w:hAnsi="Calibri" w:cs="Calibri"/>
          <w:color w:val="000000"/>
          <w:shd w:val="clear" w:color="auto" w:fill="FFFFFF"/>
          <w:lang w:val="hy-AM"/>
        </w:rPr>
        <w:t> </w:t>
      </w:r>
      <w:r w:rsidRPr="00CB0672">
        <w:rPr>
          <w:color w:val="000000"/>
          <w:shd w:val="clear" w:color="auto" w:fill="FFFFFF"/>
          <w:lang w:val="hy-AM"/>
        </w:rPr>
        <w:t xml:space="preserve">որը հաշվեքննության արձանագրությունն ստանալուն հաջորդող 10 օրվա ընթացքում համաձայնության դեպքում ստորագրում է այն կամ գրավոր ներկայացնում է առարկություններ և բացատրություններ: Հաշվեքքննության օբյեկտի կողմից արձանագրության վերաբերյալ առարկություններն և բացատրությունները </w:t>
      </w:r>
      <w:r w:rsidR="00CB0672" w:rsidRPr="00CB0672">
        <w:rPr>
          <w:color w:val="000000"/>
          <w:shd w:val="clear" w:color="auto" w:fill="FFFFFF"/>
          <w:lang w:val="hy-AM"/>
        </w:rPr>
        <w:t>հաշվեքննությանը սահմանված ժամկետում չի ներկայացվել</w:t>
      </w:r>
      <w:r w:rsidRPr="00CB0672">
        <w:rPr>
          <w:color w:val="000000"/>
          <w:shd w:val="clear" w:color="auto" w:fill="FFFFFF"/>
          <w:lang w:val="hy-AM"/>
        </w:rPr>
        <w:t>:</w:t>
      </w:r>
      <w:r w:rsidRPr="00557C56">
        <w:rPr>
          <w:color w:val="000000"/>
          <w:shd w:val="clear" w:color="auto" w:fill="FFFFFF"/>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A1" w:rsidRDefault="00741082">
    <w:pPr>
      <w:pStyle w:val="Header"/>
    </w:pPr>
    <w:r>
      <w:rPr>
        <w:noProof/>
      </w:rPr>
      <mc:AlternateContent>
        <mc:Choice Requires="wps">
          <w:drawing>
            <wp:anchor distT="228600" distB="228600" distL="114300" distR="114300" simplePos="0" relativeHeight="251659264" behindDoc="0" locked="0" layoutInCell="1" allowOverlap="0">
              <wp:simplePos x="0" y="0"/>
              <wp:positionH relativeFrom="margin">
                <wp:posOffset>5350510</wp:posOffset>
              </wp:positionH>
              <wp:positionV relativeFrom="page">
                <wp:posOffset>228600</wp:posOffset>
              </wp:positionV>
              <wp:extent cx="355600" cy="668655"/>
              <wp:effectExtent l="0" t="0" r="635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5600" cy="6686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1082" w:rsidRDefault="00741082" w:rsidP="00741082">
                          <w:pPr>
                            <w:pStyle w:val="Header"/>
                            <w:tabs>
                              <w:tab w:val="clear" w:pos="4680"/>
                              <w:tab w:val="clear" w:pos="9360"/>
                            </w:tabs>
                            <w:ind w:firstLine="0"/>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8C78C0">
                            <w:rPr>
                              <w:noProof/>
                              <w:color w:val="FFFFFF" w:themeColor="background1"/>
                              <w:szCs w:val="24"/>
                            </w:rPr>
                            <w:t>16</w:t>
                          </w:r>
                          <w:r>
                            <w:rPr>
                              <w:noProof/>
                              <w:color w:val="FFFFFF" w:themeColor="background1"/>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left:0;text-align:left;margin-left:421.3pt;margin-top:18pt;width:28pt;height:52.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" o:allowoverlap="f" fillcolor="#5b9bd5 [3204]" stroked="f" strokeweight="1pt">
              <v:path arrowok="t"/>
              <o:lock v:ext="edit" aspectratio="t"/>
              <v:textbox>
                <w:txbxContent>
                  <w:p w:rsidR="00741082" w:rsidRDefault="00741082" w:rsidP="00741082">
                    <w:pPr>
                      <w:pStyle w:val="Header"/>
                      <w:tabs>
                        <w:tab w:val="clear" w:pos="4680"/>
                        <w:tab w:val="clear" w:pos="9360"/>
                      </w:tabs>
                      <w:ind w:firstLine="0"/>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8C78C0">
                      <w:rPr>
                        <w:noProof/>
                        <w:color w:val="FFFFFF" w:themeColor="background1"/>
                        <w:szCs w:val="24"/>
                      </w:rPr>
                      <w:t>16</w:t>
                    </w:r>
                    <w:r>
                      <w:rPr>
                        <w:noProof/>
                        <w:color w:val="FFFFFF" w:themeColor="background1"/>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A1" w:rsidRPr="00B625A1" w:rsidRDefault="00B625A1" w:rsidP="000A4CF3">
    <w:pPr>
      <w:tabs>
        <w:tab w:val="center" w:pos="4680"/>
        <w:tab w:val="right" w:pos="9360"/>
      </w:tabs>
      <w:spacing w:before="0" w:after="0" w:line="240" w:lineRule="auto"/>
      <w:ind w:firstLine="709"/>
      <w:jc w:val="right"/>
      <w:rPr>
        <w:i/>
        <w:sz w:val="20"/>
        <w:szCs w:val="20"/>
        <w:lang w:val="hy-AM" w:eastAsia="x-none"/>
      </w:rPr>
    </w:pPr>
    <w:r w:rsidRPr="00B625A1">
      <w:rPr>
        <w:i/>
        <w:sz w:val="20"/>
        <w:szCs w:val="20"/>
        <w:lang w:val="hy-AM" w:eastAsia="x-none"/>
      </w:rPr>
      <w:t>Հավելված</w:t>
    </w:r>
  </w:p>
  <w:p w:rsidR="00B625A1" w:rsidRPr="00B625A1" w:rsidRDefault="00B625A1" w:rsidP="000A4CF3">
    <w:pPr>
      <w:tabs>
        <w:tab w:val="center" w:pos="4680"/>
        <w:tab w:val="right" w:pos="9360"/>
      </w:tabs>
      <w:spacing w:before="0" w:after="0" w:line="240" w:lineRule="auto"/>
      <w:ind w:firstLine="709"/>
      <w:jc w:val="right"/>
      <w:rPr>
        <w:i/>
        <w:sz w:val="20"/>
        <w:szCs w:val="20"/>
        <w:lang w:val="hy-AM" w:eastAsia="x-none"/>
      </w:rPr>
    </w:pPr>
    <w:r w:rsidRPr="00B625A1">
      <w:rPr>
        <w:i/>
        <w:sz w:val="20"/>
        <w:szCs w:val="20"/>
        <w:lang w:val="hy-AM" w:eastAsia="x-none"/>
      </w:rPr>
      <w:t>ՀՀ հաշվեքննիչ պալատի</w:t>
    </w:r>
  </w:p>
  <w:p w:rsidR="00B625A1" w:rsidRPr="00B625A1" w:rsidRDefault="00B625A1" w:rsidP="000A4CF3">
    <w:pPr>
      <w:tabs>
        <w:tab w:val="center" w:pos="4680"/>
        <w:tab w:val="right" w:pos="9360"/>
      </w:tabs>
      <w:spacing w:before="0" w:after="0" w:line="240" w:lineRule="auto"/>
      <w:ind w:firstLine="709"/>
      <w:jc w:val="right"/>
      <w:rPr>
        <w:i/>
        <w:sz w:val="20"/>
        <w:szCs w:val="20"/>
        <w:lang w:val="hy-AM" w:eastAsia="x-none"/>
      </w:rPr>
    </w:pPr>
    <w:r w:rsidRPr="00B625A1">
      <w:rPr>
        <w:i/>
        <w:sz w:val="20"/>
        <w:szCs w:val="20"/>
        <w:lang w:val="hy-AM" w:eastAsia="x-none"/>
      </w:rPr>
      <w:t xml:space="preserve">2022թ. </w:t>
    </w:r>
    <w:r w:rsidR="000A4CF3" w:rsidRPr="000A4CF3">
      <w:rPr>
        <w:i/>
        <w:sz w:val="20"/>
        <w:szCs w:val="20"/>
        <w:lang w:val="hy-AM" w:eastAsia="x-none"/>
      </w:rPr>
      <w:t>հուլիսի 27</w:t>
    </w:r>
    <w:r w:rsidRPr="00B625A1">
      <w:rPr>
        <w:i/>
        <w:sz w:val="20"/>
        <w:szCs w:val="20"/>
        <w:lang w:val="hy-AM" w:eastAsia="x-none"/>
      </w:rPr>
      <w:t xml:space="preserve">-ի թիվ </w:t>
    </w:r>
    <w:r w:rsidR="000A4CF3" w:rsidRPr="000A4CF3">
      <w:rPr>
        <w:i/>
        <w:sz w:val="20"/>
        <w:szCs w:val="20"/>
        <w:lang w:val="hy-AM" w:eastAsia="x-none"/>
      </w:rPr>
      <w:t xml:space="preserve"> 170</w:t>
    </w:r>
    <w:r w:rsidRPr="00B625A1">
      <w:rPr>
        <w:i/>
        <w:sz w:val="20"/>
        <w:szCs w:val="20"/>
        <w:lang w:val="hy-AM" w:eastAsia="x-none"/>
      </w:rPr>
      <w:t>-Ա որոշման</w:t>
    </w:r>
  </w:p>
  <w:p w:rsidR="00B625A1" w:rsidRPr="00B625A1" w:rsidRDefault="00B625A1" w:rsidP="00B625A1">
    <w:pPr>
      <w:spacing w:line="256" w:lineRule="auto"/>
      <w:rPr>
        <w:rFonts w:cs="Sylfaen"/>
        <w:b/>
        <w:bCs/>
        <w:color w:val="000000"/>
        <w:sz w:val="32"/>
        <w:lang w:val="hy-AM"/>
      </w:rPr>
    </w:pPr>
  </w:p>
  <w:p w:rsidR="00B625A1" w:rsidRPr="00B625A1" w:rsidRDefault="00B625A1">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B2"/>
    <w:multiLevelType w:val="hybridMultilevel"/>
    <w:tmpl w:val="D396DCCE"/>
    <w:lvl w:ilvl="0" w:tplc="E1565EC6">
      <w:start w:val="1"/>
      <w:numFmt w:val="upperRoman"/>
      <w:pStyle w:val="Heading1"/>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0DD727EF"/>
    <w:multiLevelType w:val="hybridMultilevel"/>
    <w:tmpl w:val="1938F8F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15:restartNumberingAfterBreak="0">
    <w:nsid w:val="36076B10"/>
    <w:multiLevelType w:val="hybridMultilevel"/>
    <w:tmpl w:val="B44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A312B"/>
    <w:multiLevelType w:val="hybridMultilevel"/>
    <w:tmpl w:val="65D66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04"/>
    <w:rsid w:val="000264CA"/>
    <w:rsid w:val="00061E78"/>
    <w:rsid w:val="000A4CF3"/>
    <w:rsid w:val="000C4195"/>
    <w:rsid w:val="000D1652"/>
    <w:rsid w:val="00156283"/>
    <w:rsid w:val="00242709"/>
    <w:rsid w:val="00244E0E"/>
    <w:rsid w:val="002B0D53"/>
    <w:rsid w:val="00302EBD"/>
    <w:rsid w:val="00336A2E"/>
    <w:rsid w:val="003433AE"/>
    <w:rsid w:val="00361517"/>
    <w:rsid w:val="0037608C"/>
    <w:rsid w:val="003800F4"/>
    <w:rsid w:val="003E2CE7"/>
    <w:rsid w:val="003F0349"/>
    <w:rsid w:val="0048684D"/>
    <w:rsid w:val="004E301A"/>
    <w:rsid w:val="004E7415"/>
    <w:rsid w:val="00557C56"/>
    <w:rsid w:val="006069D0"/>
    <w:rsid w:val="006A06BA"/>
    <w:rsid w:val="00714EA3"/>
    <w:rsid w:val="00741082"/>
    <w:rsid w:val="008734AE"/>
    <w:rsid w:val="008826EC"/>
    <w:rsid w:val="008C0476"/>
    <w:rsid w:val="008C78C0"/>
    <w:rsid w:val="008D58A9"/>
    <w:rsid w:val="009064ED"/>
    <w:rsid w:val="009245CE"/>
    <w:rsid w:val="00960351"/>
    <w:rsid w:val="0099513D"/>
    <w:rsid w:val="009E30B6"/>
    <w:rsid w:val="009F7147"/>
    <w:rsid w:val="00AB4593"/>
    <w:rsid w:val="00AC1FC6"/>
    <w:rsid w:val="00AE0492"/>
    <w:rsid w:val="00B625A1"/>
    <w:rsid w:val="00C813BB"/>
    <w:rsid w:val="00CB0672"/>
    <w:rsid w:val="00CD2731"/>
    <w:rsid w:val="00D521CD"/>
    <w:rsid w:val="00E13C04"/>
    <w:rsid w:val="00E950C1"/>
    <w:rsid w:val="00ED432E"/>
    <w:rsid w:val="00F16BEC"/>
    <w:rsid w:val="00F32F0E"/>
    <w:rsid w:val="00F63EB5"/>
    <w:rsid w:val="00FB70F6"/>
    <w:rsid w:val="00FD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ED6C1"/>
  <w15:chartTrackingRefBased/>
  <w15:docId w15:val="{4C7E4E2B-E83F-485E-9D80-C9D3E247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5A1"/>
    <w:pPr>
      <w:spacing w:before="120" w:after="120" w:line="276" w:lineRule="auto"/>
      <w:ind w:firstLine="708"/>
      <w:jc w:val="both"/>
    </w:pPr>
    <w:rPr>
      <w:rFonts w:ascii="GHEA Grapalat" w:eastAsia="SimSun" w:hAnsi="GHEA Grapalat" w:cs="Times New Roman"/>
      <w:sz w:val="24"/>
    </w:rPr>
  </w:style>
  <w:style w:type="paragraph" w:styleId="Heading1">
    <w:name w:val="heading 1"/>
    <w:basedOn w:val="Normal"/>
    <w:next w:val="Normal"/>
    <w:link w:val="Heading1Char"/>
    <w:uiPriority w:val="9"/>
    <w:qFormat/>
    <w:rsid w:val="00557C56"/>
    <w:pPr>
      <w:numPr>
        <w:numId w:val="1"/>
      </w:numPr>
      <w:spacing w:before="0" w:line="240" w:lineRule="auto"/>
      <w:ind w:right="29"/>
      <w:jc w:val="center"/>
      <w:outlineLvl w:val="0"/>
    </w:pPr>
    <w:rPr>
      <w:b/>
      <w:bCs/>
      <w:color w:val="000000"/>
      <w:sz w:val="28"/>
      <w:szCs w:val="28"/>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5A1"/>
  </w:style>
  <w:style w:type="paragraph" w:styleId="Footer">
    <w:name w:val="footer"/>
    <w:basedOn w:val="Normal"/>
    <w:link w:val="FooterChar"/>
    <w:uiPriority w:val="99"/>
    <w:unhideWhenUsed/>
    <w:rsid w:val="00B6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A1"/>
  </w:style>
  <w:style w:type="paragraph" w:styleId="FootnoteText">
    <w:name w:val="footnote text"/>
    <w:basedOn w:val="Normal"/>
    <w:link w:val="FootnoteTextChar"/>
    <w:uiPriority w:val="99"/>
    <w:semiHidden/>
    <w:unhideWhenUsed/>
    <w:rsid w:val="0024270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42709"/>
    <w:rPr>
      <w:rFonts w:ascii="GHEA Grapalat" w:eastAsia="SimSun" w:hAnsi="GHEA Grapalat" w:cs="Times New Roman"/>
      <w:sz w:val="20"/>
      <w:szCs w:val="20"/>
    </w:rPr>
  </w:style>
  <w:style w:type="character" w:styleId="FootnoteReference">
    <w:name w:val="footnote reference"/>
    <w:basedOn w:val="DefaultParagraphFont"/>
    <w:uiPriority w:val="99"/>
    <w:semiHidden/>
    <w:unhideWhenUsed/>
    <w:rsid w:val="00242709"/>
    <w:rPr>
      <w:vertAlign w:val="superscript"/>
    </w:rPr>
  </w:style>
  <w:style w:type="character" w:customStyle="1" w:styleId="Heading1Char">
    <w:name w:val="Heading 1 Char"/>
    <w:basedOn w:val="DefaultParagraphFont"/>
    <w:link w:val="Heading1"/>
    <w:uiPriority w:val="9"/>
    <w:rsid w:val="00557C56"/>
    <w:rPr>
      <w:rFonts w:ascii="GHEA Grapalat" w:eastAsia="SimSun" w:hAnsi="GHEA Grapalat" w:cs="Times New Roman"/>
      <w:b/>
      <w:bCs/>
      <w:color w:val="000000"/>
      <w:sz w:val="28"/>
      <w:szCs w:val="28"/>
      <w:lang w:val="ru-RU" w:eastAsia="x-none"/>
    </w:rPr>
  </w:style>
  <w:style w:type="table" w:styleId="GridTable4-Accent5">
    <w:name w:val="Grid Table 4 Accent 5"/>
    <w:basedOn w:val="TableNormal"/>
    <w:uiPriority w:val="49"/>
    <w:rsid w:val="00D521CD"/>
    <w:pPr>
      <w:spacing w:after="0" w:line="240" w:lineRule="auto"/>
    </w:pPr>
    <w:rPr>
      <w:rFonts w:ascii="Calibri" w:eastAsia="Calibri" w:hAnsi="Calibri"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741082"/>
    <w:pPr>
      <w:keepNext/>
      <w:keepLines/>
      <w:numPr>
        <w:numId w:val="0"/>
      </w:numPr>
      <w:spacing w:before="240" w:after="0" w:line="259" w:lineRule="auto"/>
      <w:ind w:right="0"/>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41082"/>
    <w:pPr>
      <w:spacing w:after="100"/>
    </w:pPr>
  </w:style>
  <w:style w:type="character" w:styleId="Hyperlink">
    <w:name w:val="Hyperlink"/>
    <w:basedOn w:val="DefaultParagraphFont"/>
    <w:uiPriority w:val="99"/>
    <w:unhideWhenUsed/>
    <w:rsid w:val="00741082"/>
    <w:rPr>
      <w:color w:val="0563C1" w:themeColor="hyperlink"/>
      <w:u w:val="single"/>
    </w:rPr>
  </w:style>
  <w:style w:type="paragraph" w:styleId="BalloonText">
    <w:name w:val="Balloon Text"/>
    <w:basedOn w:val="Normal"/>
    <w:link w:val="BalloonTextChar"/>
    <w:uiPriority w:val="99"/>
    <w:semiHidden/>
    <w:unhideWhenUsed/>
    <w:rsid w:val="003F034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4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6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67AF-1A7D-4366-AA55-3B46FF95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NARA</cp:lastModifiedBy>
  <cp:revision>5</cp:revision>
  <cp:lastPrinted>2022-07-27T05:39:00Z</cp:lastPrinted>
  <dcterms:created xsi:type="dcterms:W3CDTF">2022-08-01T09:31:00Z</dcterms:created>
  <dcterms:modified xsi:type="dcterms:W3CDTF">2022-08-01T09:33:00Z</dcterms:modified>
</cp:coreProperties>
</file>